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6ECA3" w14:textId="77777777" w:rsidR="00F22ACC" w:rsidRDefault="00F22ACC" w:rsidP="00CD679A">
      <w:pPr>
        <w:ind w:firstLine="720"/>
        <w:rPr>
          <w:b/>
        </w:rPr>
      </w:pPr>
      <w:r w:rsidRPr="00697903">
        <w:rPr>
          <w:rFonts w:ascii="Franklin Gothic Book" w:eastAsia="Franklin Gothic Book" w:hAnsi="Franklin Gothic Book" w:cs="Franklin Gothic Book"/>
          <w:noProof/>
          <w:color w:val="231F20"/>
          <w:sz w:val="28"/>
          <w:szCs w:val="28"/>
          <w:lang w:eastAsia="en-GB" w:bidi="he-IL"/>
        </w:rPr>
        <w:drawing>
          <wp:inline distT="0" distB="0" distL="0" distR="0" wp14:anchorId="5340C82C" wp14:editId="774C1314">
            <wp:extent cx="1209040" cy="106205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S_logo_309C_Flint cop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3190" cy="1109624"/>
                    </a:xfrm>
                    <a:prstGeom prst="rect">
                      <a:avLst/>
                    </a:prstGeom>
                  </pic:spPr>
                </pic:pic>
              </a:graphicData>
            </a:graphic>
          </wp:inline>
        </w:drawing>
      </w:r>
      <w:r w:rsidR="00576EED">
        <w:rPr>
          <w:b/>
        </w:rPr>
        <w:t xml:space="preserve"> </w:t>
      </w:r>
      <w:r w:rsidR="00CD679A">
        <w:rPr>
          <w:noProof/>
          <w:lang w:eastAsia="en-GB" w:bidi="he-IL"/>
        </w:rPr>
        <w:drawing>
          <wp:inline distT="0" distB="0" distL="0" distR="0" wp14:anchorId="3C84D0F7" wp14:editId="4E516062">
            <wp:extent cx="1276350" cy="1410970"/>
            <wp:effectExtent l="0" t="0" r="0" b="0"/>
            <wp:docPr id="3076" name="Picture 1"/>
            <wp:cNvGraphicFramePr/>
            <a:graphic xmlns:a="http://schemas.openxmlformats.org/drawingml/2006/main">
              <a:graphicData uri="http://schemas.openxmlformats.org/drawingml/2006/picture">
                <pic:pic xmlns:pic="http://schemas.openxmlformats.org/drawingml/2006/picture">
                  <pic:nvPicPr>
                    <pic:cNvPr id="3076"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1410970"/>
                    </a:xfrm>
                    <a:prstGeom prst="rect">
                      <a:avLst/>
                    </a:prstGeom>
                    <a:noFill/>
                    <a:ln>
                      <a:noFill/>
                    </a:ln>
                    <a:extLst/>
                  </pic:spPr>
                </pic:pic>
              </a:graphicData>
            </a:graphic>
          </wp:inline>
        </w:drawing>
      </w:r>
      <w:r w:rsidR="00CD679A">
        <w:rPr>
          <w:noProof/>
          <w:lang w:eastAsia="en-GB" w:bidi="he-IL"/>
        </w:rPr>
        <w:drawing>
          <wp:inline distT="0" distB="0" distL="0" distR="0" wp14:anchorId="22EB6279" wp14:editId="3B2D91C0">
            <wp:extent cx="2200275" cy="1481818"/>
            <wp:effectExtent l="0" t="0" r="0" b="4445"/>
            <wp:docPr id="2" name="Picture 2" descr="C:\Users\Lang\Documents\Research (own)\PROJECTS\2014\Food Research Collaboration 14-16\logo\final 09 07 14\frc logo no mai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ng\Documents\Research (own)\PROJECTS\2014\Food Research Collaboration 14-16\logo\final 09 07 14\frc logo no maize.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10013" t="23133" r="12519" b="30612"/>
                    <a:stretch/>
                  </pic:blipFill>
                  <pic:spPr bwMode="auto">
                    <a:xfrm>
                      <a:off x="0" y="0"/>
                      <a:ext cx="2243132" cy="1510681"/>
                    </a:xfrm>
                    <a:prstGeom prst="rect">
                      <a:avLst/>
                    </a:prstGeom>
                    <a:noFill/>
                    <a:ln>
                      <a:noFill/>
                    </a:ln>
                    <a:extLst>
                      <a:ext uri="{53640926-AAD7-44D8-BBD7-CCE9431645EC}">
                        <a14:shadowObscured xmlns:a14="http://schemas.microsoft.com/office/drawing/2010/main"/>
                      </a:ext>
                    </a:extLst>
                  </pic:spPr>
                </pic:pic>
              </a:graphicData>
            </a:graphic>
          </wp:inline>
        </w:drawing>
      </w:r>
    </w:p>
    <w:p w14:paraId="7E51073F" w14:textId="77777777" w:rsidR="006B0069" w:rsidRDefault="006B0069" w:rsidP="006B0069">
      <w:pPr>
        <w:pStyle w:val="PlainText"/>
      </w:pPr>
    </w:p>
    <w:p w14:paraId="058FFA85" w14:textId="77777777" w:rsidR="006B0069" w:rsidRPr="00770A5A" w:rsidRDefault="006B0069" w:rsidP="006B0069">
      <w:pPr>
        <w:pStyle w:val="PlainText"/>
        <w:jc w:val="right"/>
        <w:rPr>
          <w:rFonts w:asciiTheme="minorBidi" w:hAnsiTheme="minorBidi"/>
          <w:bCs/>
          <w:sz w:val="21"/>
        </w:rPr>
      </w:pPr>
      <w:r w:rsidRPr="00770A5A">
        <w:rPr>
          <w:rFonts w:asciiTheme="minorBidi" w:hAnsiTheme="minorBidi"/>
          <w:bCs/>
          <w:sz w:val="21"/>
        </w:rPr>
        <w:t>PRESS RELEASE</w:t>
      </w:r>
    </w:p>
    <w:p w14:paraId="7F8A72E4" w14:textId="77777777" w:rsidR="006B0069" w:rsidRPr="00B07E4A" w:rsidRDefault="006B0069" w:rsidP="00770A5A">
      <w:pPr>
        <w:pStyle w:val="PlainText"/>
        <w:jc w:val="right"/>
        <w:rPr>
          <w:rFonts w:asciiTheme="minorBidi" w:hAnsiTheme="minorBidi"/>
          <w:b/>
          <w:sz w:val="21"/>
        </w:rPr>
      </w:pPr>
      <w:r w:rsidRPr="00B07E4A">
        <w:rPr>
          <w:rFonts w:asciiTheme="minorBidi" w:hAnsiTheme="minorBidi"/>
          <w:b/>
          <w:sz w:val="21"/>
        </w:rPr>
        <w:t xml:space="preserve">Priority: </w:t>
      </w:r>
      <w:r w:rsidR="00770A5A">
        <w:rPr>
          <w:rFonts w:asciiTheme="minorBidi" w:hAnsiTheme="minorBidi"/>
          <w:b/>
          <w:sz w:val="21"/>
        </w:rPr>
        <w:t>EMBARGOED UNTIL 00.01AM (GMT) ON FRIDAY 9 MARCH 2018</w:t>
      </w:r>
    </w:p>
    <w:p w14:paraId="7D6685F7" w14:textId="77777777" w:rsidR="006B0069" w:rsidRPr="00770A5A" w:rsidRDefault="006B0069" w:rsidP="00770A5A">
      <w:pPr>
        <w:pStyle w:val="PlainText"/>
        <w:jc w:val="right"/>
        <w:rPr>
          <w:rFonts w:asciiTheme="minorBidi" w:hAnsiTheme="minorBidi"/>
          <w:bCs/>
          <w:sz w:val="21"/>
        </w:rPr>
      </w:pPr>
      <w:r w:rsidRPr="00770A5A">
        <w:rPr>
          <w:rFonts w:asciiTheme="minorBidi" w:hAnsiTheme="minorBidi"/>
          <w:bCs/>
          <w:sz w:val="21"/>
        </w:rPr>
        <w:t xml:space="preserve">Date: </w:t>
      </w:r>
      <w:r w:rsidR="00770A5A" w:rsidRPr="00770A5A">
        <w:rPr>
          <w:rFonts w:asciiTheme="minorBidi" w:hAnsiTheme="minorBidi"/>
          <w:bCs/>
          <w:sz w:val="21"/>
        </w:rPr>
        <w:t>THURSDAY 8</w:t>
      </w:r>
      <w:r w:rsidR="00F320DD" w:rsidRPr="00770A5A">
        <w:rPr>
          <w:rFonts w:asciiTheme="minorBidi" w:hAnsiTheme="minorBidi"/>
          <w:bCs/>
          <w:sz w:val="21"/>
        </w:rPr>
        <w:t xml:space="preserve"> MARCH 2018</w:t>
      </w:r>
    </w:p>
    <w:p w14:paraId="612E5FB9" w14:textId="77777777" w:rsidR="00AF45B5" w:rsidRDefault="00AF45B5" w:rsidP="00AF45B5">
      <w:pPr>
        <w:pStyle w:val="PlainText"/>
        <w:jc w:val="right"/>
        <w:rPr>
          <w:rFonts w:asciiTheme="minorBidi" w:hAnsiTheme="minorBidi"/>
          <w:b/>
          <w:sz w:val="21"/>
        </w:rPr>
      </w:pPr>
    </w:p>
    <w:p w14:paraId="4B1B13F3" w14:textId="77777777" w:rsidR="00AF45B5" w:rsidRDefault="00AF45B5" w:rsidP="00AF45B5">
      <w:pPr>
        <w:pStyle w:val="PlainText"/>
        <w:jc w:val="right"/>
        <w:rPr>
          <w:rFonts w:asciiTheme="minorBidi" w:hAnsiTheme="minorBidi"/>
          <w:b/>
          <w:sz w:val="21"/>
        </w:rPr>
      </w:pPr>
    </w:p>
    <w:p w14:paraId="68D91FA6" w14:textId="77777777" w:rsidR="00AF45B5" w:rsidRPr="00AF45B5" w:rsidRDefault="00AF45B5" w:rsidP="00AF45B5">
      <w:pPr>
        <w:pStyle w:val="PlainText"/>
        <w:jc w:val="center"/>
        <w:rPr>
          <w:rFonts w:asciiTheme="minorBidi" w:hAnsiTheme="minorBidi"/>
          <w:bCs/>
          <w:caps/>
          <w:sz w:val="32"/>
          <w:szCs w:val="32"/>
        </w:rPr>
      </w:pPr>
      <w:r>
        <w:rPr>
          <w:rFonts w:asciiTheme="minorBidi" w:hAnsiTheme="minorBidi"/>
          <w:bCs/>
          <w:caps/>
          <w:sz w:val="32"/>
          <w:szCs w:val="32"/>
        </w:rPr>
        <w:t>GOVERNMENT URGED TO HALT FOOD-</w:t>
      </w:r>
      <w:r w:rsidRPr="00AF45B5">
        <w:rPr>
          <w:rFonts w:asciiTheme="minorBidi" w:hAnsiTheme="minorBidi"/>
          <w:bCs/>
          <w:caps/>
          <w:sz w:val="32"/>
          <w:szCs w:val="32"/>
        </w:rPr>
        <w:t>SAFETY OVERHAUL</w:t>
      </w:r>
    </w:p>
    <w:p w14:paraId="6CA0235B" w14:textId="77777777" w:rsidR="00B07E4A" w:rsidRPr="001A036C" w:rsidRDefault="00B07E4A" w:rsidP="00101487">
      <w:pPr>
        <w:jc w:val="center"/>
        <w:rPr>
          <w:rFonts w:asciiTheme="minorBidi" w:hAnsiTheme="minorBidi"/>
          <w:sz w:val="21"/>
          <w:szCs w:val="21"/>
        </w:rPr>
      </w:pPr>
    </w:p>
    <w:p w14:paraId="56794428" w14:textId="77777777" w:rsidR="00AF45B5" w:rsidRPr="00AF45B5" w:rsidRDefault="00AF45B5" w:rsidP="00AF45B5">
      <w:pPr>
        <w:spacing w:before="167" w:line="280" w:lineRule="exact"/>
        <w:ind w:right="-590"/>
        <w:contextualSpacing/>
        <w:rPr>
          <w:rFonts w:asciiTheme="minorBidi" w:hAnsiTheme="minorBidi"/>
          <w:iCs/>
          <w:sz w:val="21"/>
          <w:szCs w:val="21"/>
        </w:rPr>
      </w:pPr>
      <w:r w:rsidRPr="00AF45B5">
        <w:rPr>
          <w:rFonts w:asciiTheme="minorBidi" w:hAnsiTheme="minorBidi"/>
          <w:iCs/>
          <w:sz w:val="21"/>
          <w:szCs w:val="21"/>
        </w:rPr>
        <w:t>Leading food-safety experts have urged the UK Government to halt plans to outsource food safety inspections to private companies.</w:t>
      </w:r>
    </w:p>
    <w:p w14:paraId="0538942B" w14:textId="77777777" w:rsidR="00AF45B5" w:rsidRPr="00AF45B5" w:rsidRDefault="00AF45B5" w:rsidP="00AF45B5">
      <w:pPr>
        <w:spacing w:before="167" w:line="280" w:lineRule="exact"/>
        <w:ind w:right="-590"/>
        <w:contextualSpacing/>
        <w:rPr>
          <w:rFonts w:asciiTheme="minorBidi" w:hAnsiTheme="minorBidi"/>
          <w:iCs/>
          <w:sz w:val="21"/>
          <w:szCs w:val="21"/>
        </w:rPr>
      </w:pPr>
    </w:p>
    <w:p w14:paraId="6698DCBB" w14:textId="77777777" w:rsidR="00AF45B5" w:rsidRPr="00AF45B5" w:rsidRDefault="00AF45B5" w:rsidP="00AF45B5">
      <w:pPr>
        <w:spacing w:before="167" w:line="280" w:lineRule="exact"/>
        <w:ind w:right="-590"/>
        <w:contextualSpacing/>
        <w:rPr>
          <w:rFonts w:asciiTheme="minorBidi" w:hAnsiTheme="minorBidi"/>
          <w:iCs/>
          <w:sz w:val="21"/>
          <w:szCs w:val="21"/>
        </w:rPr>
      </w:pPr>
      <w:r w:rsidRPr="00AF45B5">
        <w:rPr>
          <w:rFonts w:asciiTheme="minorBidi" w:hAnsiTheme="minorBidi"/>
          <w:iCs/>
          <w:sz w:val="21"/>
          <w:szCs w:val="21"/>
        </w:rPr>
        <w:t>The proposals would, according to a new report published today by the Food Research Collaboration, endanger public health and damage UK food exporters after Brexit.</w:t>
      </w:r>
    </w:p>
    <w:p w14:paraId="1158EB19" w14:textId="77777777" w:rsidR="00AF45B5" w:rsidRPr="00AF45B5" w:rsidRDefault="00AF45B5" w:rsidP="00AF45B5">
      <w:pPr>
        <w:spacing w:before="167" w:line="280" w:lineRule="exact"/>
        <w:ind w:right="-590"/>
        <w:contextualSpacing/>
        <w:rPr>
          <w:rFonts w:asciiTheme="minorBidi" w:hAnsiTheme="minorBidi"/>
          <w:iCs/>
          <w:sz w:val="21"/>
          <w:szCs w:val="21"/>
        </w:rPr>
      </w:pPr>
    </w:p>
    <w:p w14:paraId="1B3FC68C" w14:textId="20D85493" w:rsidR="00AF45B5" w:rsidRPr="00AF45B5" w:rsidRDefault="00AF45B5" w:rsidP="00AF45B5">
      <w:pPr>
        <w:spacing w:before="167" w:line="280" w:lineRule="exact"/>
        <w:ind w:right="-590"/>
        <w:contextualSpacing/>
        <w:rPr>
          <w:rFonts w:asciiTheme="minorBidi" w:hAnsiTheme="minorBidi"/>
          <w:iCs/>
          <w:sz w:val="21"/>
          <w:szCs w:val="21"/>
        </w:rPr>
      </w:pPr>
      <w:r w:rsidRPr="00AF45B5">
        <w:rPr>
          <w:rFonts w:asciiTheme="minorBidi" w:hAnsiTheme="minorBidi"/>
          <w:iCs/>
          <w:sz w:val="21"/>
          <w:szCs w:val="21"/>
        </w:rPr>
        <w:t xml:space="preserve">The report by Professors Erik Millstone at the University of Sussex and Tim Lang </w:t>
      </w:r>
      <w:r w:rsidR="00576EED">
        <w:rPr>
          <w:rFonts w:asciiTheme="minorBidi" w:hAnsiTheme="minorBidi"/>
          <w:iCs/>
          <w:sz w:val="21"/>
          <w:szCs w:val="21"/>
        </w:rPr>
        <w:t xml:space="preserve">at </w:t>
      </w:r>
      <w:r w:rsidRPr="00AF45B5">
        <w:rPr>
          <w:rFonts w:asciiTheme="minorBidi" w:hAnsiTheme="minorBidi"/>
          <w:iCs/>
          <w:sz w:val="21"/>
          <w:szCs w:val="21"/>
        </w:rPr>
        <w:t>City</w:t>
      </w:r>
      <w:r w:rsidR="001824DD">
        <w:rPr>
          <w:rFonts w:asciiTheme="minorBidi" w:hAnsiTheme="minorBidi"/>
          <w:iCs/>
          <w:sz w:val="21"/>
          <w:szCs w:val="21"/>
        </w:rPr>
        <w:t>,</w:t>
      </w:r>
      <w:r w:rsidRPr="00AF45B5">
        <w:rPr>
          <w:rFonts w:asciiTheme="minorBidi" w:hAnsiTheme="minorBidi"/>
          <w:iCs/>
          <w:sz w:val="21"/>
          <w:szCs w:val="21"/>
        </w:rPr>
        <w:t xml:space="preserve"> University</w:t>
      </w:r>
      <w:r w:rsidR="001824DD">
        <w:rPr>
          <w:rFonts w:asciiTheme="minorBidi" w:hAnsiTheme="minorBidi"/>
          <w:iCs/>
          <w:sz w:val="21"/>
          <w:szCs w:val="21"/>
        </w:rPr>
        <w:t xml:space="preserve"> of</w:t>
      </w:r>
      <w:r w:rsidRPr="00AF45B5">
        <w:rPr>
          <w:rFonts w:asciiTheme="minorBidi" w:hAnsiTheme="minorBidi"/>
          <w:iCs/>
          <w:sz w:val="21"/>
          <w:szCs w:val="21"/>
        </w:rPr>
        <w:t xml:space="preserve"> London</w:t>
      </w:r>
      <w:r w:rsidR="001230E1">
        <w:rPr>
          <w:rFonts w:asciiTheme="minorBidi" w:hAnsiTheme="minorBidi"/>
          <w:iCs/>
          <w:sz w:val="21"/>
          <w:szCs w:val="21"/>
        </w:rPr>
        <w:t>,</w:t>
      </w:r>
      <w:r w:rsidRPr="00AF45B5">
        <w:rPr>
          <w:rFonts w:asciiTheme="minorBidi" w:hAnsiTheme="minorBidi"/>
          <w:iCs/>
          <w:sz w:val="21"/>
          <w:szCs w:val="21"/>
        </w:rPr>
        <w:t xml:space="preserve"> questions why the Food Standards Agency (FSA) is pushing forward with a programme of change (called </w:t>
      </w:r>
      <w:r w:rsidRPr="00AF45B5">
        <w:rPr>
          <w:rFonts w:asciiTheme="minorBidi" w:hAnsiTheme="minorBidi"/>
          <w:i/>
          <w:iCs/>
          <w:sz w:val="21"/>
          <w:szCs w:val="21"/>
        </w:rPr>
        <w:t>Regulating Our Future</w:t>
      </w:r>
      <w:r w:rsidRPr="00AF45B5">
        <w:rPr>
          <w:rFonts w:asciiTheme="minorBidi" w:hAnsiTheme="minorBidi"/>
          <w:iCs/>
          <w:sz w:val="21"/>
          <w:szCs w:val="21"/>
        </w:rPr>
        <w:t xml:space="preserve"> - or ROF) that will destabilise the institutions responsible for enforcing food safety standards.</w:t>
      </w:r>
    </w:p>
    <w:p w14:paraId="78B09FA1" w14:textId="77777777" w:rsidR="00AF45B5" w:rsidRPr="00AF45B5" w:rsidRDefault="00AF45B5" w:rsidP="00AF45B5">
      <w:pPr>
        <w:spacing w:before="167" w:line="280" w:lineRule="exact"/>
        <w:ind w:right="-590"/>
        <w:contextualSpacing/>
        <w:rPr>
          <w:rFonts w:asciiTheme="minorBidi" w:hAnsiTheme="minorBidi"/>
          <w:iCs/>
          <w:sz w:val="21"/>
          <w:szCs w:val="21"/>
        </w:rPr>
      </w:pPr>
    </w:p>
    <w:p w14:paraId="2AE8DB3A" w14:textId="77777777" w:rsidR="00AF45B5" w:rsidRPr="00AF45B5" w:rsidRDefault="00AF45B5" w:rsidP="00AF45B5">
      <w:pPr>
        <w:ind w:right="-590"/>
        <w:contextualSpacing/>
        <w:rPr>
          <w:rFonts w:asciiTheme="minorBidi" w:hAnsiTheme="minorBidi"/>
          <w:iCs/>
          <w:sz w:val="21"/>
          <w:szCs w:val="21"/>
        </w:rPr>
      </w:pPr>
      <w:r w:rsidRPr="00AF45B5">
        <w:rPr>
          <w:rFonts w:asciiTheme="minorBidi" w:hAnsiTheme="minorBidi"/>
          <w:iCs/>
          <w:sz w:val="21"/>
          <w:szCs w:val="21"/>
        </w:rPr>
        <w:t>The timing could not be worse, according to the researchers, with the Government still to clarify exactly how it plans to manage the effects of Brexit on the UK food industry. An unprecedented 37 food industry bodies signed a wake-up call on ‘Food Brexit’ on February 15.</w:t>
      </w:r>
      <w:r w:rsidRPr="00AF45B5">
        <w:rPr>
          <w:rStyle w:val="FootnoteReference"/>
          <w:rFonts w:asciiTheme="minorBidi" w:hAnsiTheme="minorBidi"/>
          <w:iCs/>
          <w:sz w:val="21"/>
          <w:szCs w:val="21"/>
        </w:rPr>
        <w:footnoteReference w:id="1"/>
      </w:r>
      <w:r w:rsidRPr="00AF45B5">
        <w:rPr>
          <w:rFonts w:asciiTheme="minorBidi" w:hAnsiTheme="minorBidi"/>
          <w:iCs/>
          <w:sz w:val="21"/>
          <w:szCs w:val="21"/>
        </w:rPr>
        <w:t xml:space="preserve"> </w:t>
      </w:r>
      <w:r w:rsidR="003336AC">
        <w:rPr>
          <w:rFonts w:asciiTheme="minorBidi" w:hAnsiTheme="minorBidi"/>
          <w:iCs/>
          <w:sz w:val="21"/>
          <w:szCs w:val="21"/>
        </w:rPr>
        <w:t>These did not include any consumer or public health bodies. That perspective is also needed, say Millstone and Lang, as is shown by significance of the ROF proposals.</w:t>
      </w:r>
    </w:p>
    <w:p w14:paraId="422EFDBD" w14:textId="77777777" w:rsidR="00AF45B5" w:rsidRPr="00AF45B5" w:rsidRDefault="00AF45B5" w:rsidP="00AF45B5">
      <w:pPr>
        <w:ind w:right="-590"/>
        <w:contextualSpacing/>
        <w:rPr>
          <w:rFonts w:asciiTheme="minorBidi" w:hAnsiTheme="minorBidi"/>
          <w:iCs/>
          <w:sz w:val="21"/>
          <w:szCs w:val="21"/>
        </w:rPr>
      </w:pPr>
    </w:p>
    <w:p w14:paraId="1FC901F2" w14:textId="77777777" w:rsidR="00AF45B5" w:rsidRPr="00AF45B5" w:rsidRDefault="00AF45B5" w:rsidP="00AF45B5">
      <w:pPr>
        <w:spacing w:after="0" w:line="240" w:lineRule="auto"/>
        <w:rPr>
          <w:rFonts w:asciiTheme="minorBidi" w:hAnsiTheme="minorBidi"/>
          <w:iCs/>
          <w:sz w:val="21"/>
          <w:szCs w:val="21"/>
        </w:rPr>
      </w:pPr>
      <w:r w:rsidRPr="00AF45B5">
        <w:rPr>
          <w:rFonts w:asciiTheme="minorBidi" w:hAnsiTheme="minorBidi"/>
          <w:iCs/>
          <w:sz w:val="21"/>
          <w:szCs w:val="21"/>
        </w:rPr>
        <w:t>Professor Millstone said: “</w:t>
      </w:r>
      <w:r w:rsidR="003336AC">
        <w:rPr>
          <w:rFonts w:asciiTheme="minorBidi" w:hAnsiTheme="minorBidi"/>
          <w:iCs/>
          <w:sz w:val="21"/>
          <w:szCs w:val="21"/>
        </w:rPr>
        <w:t xml:space="preserve">ROF </w:t>
      </w:r>
      <w:r w:rsidRPr="00AF45B5">
        <w:rPr>
          <w:rFonts w:asciiTheme="minorBidi" w:hAnsiTheme="minorBidi"/>
          <w:iCs/>
          <w:sz w:val="21"/>
          <w:szCs w:val="21"/>
        </w:rPr>
        <w:t xml:space="preserve">is terrible timing when Government has not even clarified how UK food </w:t>
      </w:r>
      <w:r w:rsidR="004436D6">
        <w:rPr>
          <w:rFonts w:asciiTheme="minorBidi" w:hAnsiTheme="minorBidi"/>
          <w:iCs/>
          <w:sz w:val="21"/>
          <w:szCs w:val="21"/>
        </w:rPr>
        <w:t xml:space="preserve">security </w:t>
      </w:r>
      <w:r w:rsidRPr="00AF45B5">
        <w:rPr>
          <w:rFonts w:asciiTheme="minorBidi" w:hAnsiTheme="minorBidi"/>
          <w:iCs/>
          <w:sz w:val="21"/>
          <w:szCs w:val="21"/>
        </w:rPr>
        <w:t xml:space="preserve">will be </w:t>
      </w:r>
      <w:r w:rsidR="003E3BD3">
        <w:rPr>
          <w:rFonts w:asciiTheme="minorBidi" w:hAnsiTheme="minorBidi"/>
          <w:iCs/>
          <w:sz w:val="21"/>
          <w:szCs w:val="21"/>
        </w:rPr>
        <w:t>adversely affected</w:t>
      </w:r>
      <w:r w:rsidR="003E3BD3" w:rsidRPr="00AF45B5">
        <w:rPr>
          <w:rFonts w:asciiTheme="minorBidi" w:hAnsiTheme="minorBidi"/>
          <w:iCs/>
          <w:sz w:val="21"/>
          <w:szCs w:val="21"/>
        </w:rPr>
        <w:t xml:space="preserve"> </w:t>
      </w:r>
      <w:r w:rsidRPr="00AF45B5">
        <w:rPr>
          <w:rFonts w:asciiTheme="minorBidi" w:hAnsiTheme="minorBidi"/>
          <w:iCs/>
          <w:sz w:val="21"/>
          <w:szCs w:val="21"/>
        </w:rPr>
        <w:t>by Brexit.</w:t>
      </w:r>
    </w:p>
    <w:p w14:paraId="7D5C62EC" w14:textId="77777777" w:rsidR="00AF45B5" w:rsidRPr="00AF45B5" w:rsidRDefault="00AF45B5" w:rsidP="00AF45B5">
      <w:pPr>
        <w:spacing w:after="0" w:line="240" w:lineRule="auto"/>
        <w:rPr>
          <w:rFonts w:asciiTheme="minorBidi" w:hAnsiTheme="minorBidi"/>
          <w:iCs/>
          <w:sz w:val="21"/>
          <w:szCs w:val="21"/>
        </w:rPr>
      </w:pPr>
    </w:p>
    <w:p w14:paraId="5C4BF8E9" w14:textId="77777777" w:rsidR="00AF45B5" w:rsidRPr="00AF45B5" w:rsidRDefault="00AF45B5" w:rsidP="00AF45B5">
      <w:pPr>
        <w:spacing w:before="167" w:line="280" w:lineRule="exact"/>
        <w:ind w:right="-590"/>
        <w:contextualSpacing/>
        <w:rPr>
          <w:rFonts w:asciiTheme="minorBidi" w:hAnsiTheme="minorBidi"/>
          <w:iCs/>
          <w:sz w:val="21"/>
          <w:szCs w:val="21"/>
        </w:rPr>
      </w:pPr>
      <w:r w:rsidRPr="00AF45B5">
        <w:rPr>
          <w:rFonts w:asciiTheme="minorBidi" w:hAnsiTheme="minorBidi"/>
          <w:iCs/>
          <w:sz w:val="21"/>
          <w:szCs w:val="21"/>
        </w:rPr>
        <w:t xml:space="preserve">“These changes would impose a flawed shift in responsibility for food law enforcement. </w:t>
      </w:r>
    </w:p>
    <w:p w14:paraId="6998E22D" w14:textId="77777777" w:rsidR="00AF45B5" w:rsidRPr="00AF45B5" w:rsidRDefault="00AF45B5" w:rsidP="00AF45B5">
      <w:pPr>
        <w:spacing w:before="167" w:line="280" w:lineRule="exact"/>
        <w:ind w:right="-590"/>
        <w:contextualSpacing/>
        <w:rPr>
          <w:rFonts w:asciiTheme="minorBidi" w:hAnsiTheme="minorBidi"/>
          <w:iCs/>
          <w:sz w:val="21"/>
          <w:szCs w:val="21"/>
        </w:rPr>
      </w:pPr>
    </w:p>
    <w:p w14:paraId="2929C8E4" w14:textId="77777777" w:rsidR="00AF45B5" w:rsidRPr="00AF45B5" w:rsidRDefault="00AF45B5" w:rsidP="00AF45B5">
      <w:pPr>
        <w:spacing w:before="167" w:line="280" w:lineRule="exact"/>
        <w:ind w:right="-590"/>
        <w:contextualSpacing/>
        <w:rPr>
          <w:rFonts w:asciiTheme="minorBidi" w:hAnsiTheme="minorBidi"/>
          <w:iCs/>
          <w:sz w:val="21"/>
          <w:szCs w:val="21"/>
        </w:rPr>
      </w:pPr>
      <w:r w:rsidRPr="00AF45B5">
        <w:rPr>
          <w:rFonts w:asciiTheme="minorBidi" w:hAnsiTheme="minorBidi"/>
          <w:iCs/>
          <w:sz w:val="21"/>
          <w:szCs w:val="21"/>
        </w:rPr>
        <w:t xml:space="preserve">“This would be risky at the best of times but, when uncertainties abound over ‘Food Brexit’, this is bad policy being rushed through when Ministers and Parliament are not paying attention.  </w:t>
      </w:r>
    </w:p>
    <w:p w14:paraId="430CA5EC" w14:textId="77777777" w:rsidR="00AF45B5" w:rsidRPr="00AF45B5" w:rsidRDefault="00AF45B5" w:rsidP="00AF45B5">
      <w:pPr>
        <w:spacing w:before="167" w:line="280" w:lineRule="exact"/>
        <w:ind w:right="-590"/>
        <w:contextualSpacing/>
        <w:rPr>
          <w:rFonts w:asciiTheme="minorBidi" w:hAnsiTheme="minorBidi"/>
          <w:iCs/>
          <w:sz w:val="21"/>
          <w:szCs w:val="21"/>
        </w:rPr>
      </w:pPr>
    </w:p>
    <w:p w14:paraId="5746396E" w14:textId="77777777" w:rsidR="00AF45B5" w:rsidRPr="00AF45B5" w:rsidRDefault="00AF45B5" w:rsidP="00AF45B5">
      <w:pPr>
        <w:spacing w:before="167" w:line="280" w:lineRule="exact"/>
        <w:ind w:right="-590"/>
        <w:contextualSpacing/>
        <w:rPr>
          <w:rFonts w:asciiTheme="minorBidi" w:hAnsiTheme="minorBidi"/>
          <w:iCs/>
          <w:sz w:val="21"/>
          <w:szCs w:val="21"/>
        </w:rPr>
      </w:pPr>
      <w:r w:rsidRPr="00AF45B5">
        <w:rPr>
          <w:rFonts w:asciiTheme="minorBidi" w:hAnsiTheme="minorBidi"/>
          <w:iCs/>
          <w:sz w:val="21"/>
          <w:szCs w:val="21"/>
        </w:rPr>
        <w:lastRenderedPageBreak/>
        <w:t xml:space="preserve">“You cannot ‘put consumers first’ by keeping them in the dark. Food companies are </w:t>
      </w:r>
      <w:proofErr w:type="gramStart"/>
      <w:r w:rsidRPr="00AF45B5">
        <w:rPr>
          <w:rFonts w:asciiTheme="minorBidi" w:hAnsiTheme="minorBidi"/>
          <w:iCs/>
          <w:sz w:val="21"/>
          <w:szCs w:val="21"/>
        </w:rPr>
        <w:t>well aware</w:t>
      </w:r>
      <w:proofErr w:type="gramEnd"/>
      <w:r w:rsidRPr="00AF45B5">
        <w:rPr>
          <w:rFonts w:asciiTheme="minorBidi" w:hAnsiTheme="minorBidi"/>
          <w:iCs/>
          <w:sz w:val="21"/>
          <w:szCs w:val="21"/>
        </w:rPr>
        <w:t xml:space="preserve"> of the risks, but the government has not listened.”</w:t>
      </w:r>
    </w:p>
    <w:p w14:paraId="3C1623FA" w14:textId="77777777" w:rsidR="00AF45B5" w:rsidRPr="00AF45B5" w:rsidRDefault="00AF45B5" w:rsidP="00AF45B5">
      <w:pPr>
        <w:spacing w:before="167" w:line="280" w:lineRule="exact"/>
        <w:ind w:right="-590"/>
        <w:contextualSpacing/>
        <w:rPr>
          <w:rFonts w:asciiTheme="minorBidi" w:hAnsiTheme="minorBidi"/>
          <w:iCs/>
          <w:sz w:val="21"/>
          <w:szCs w:val="21"/>
        </w:rPr>
      </w:pPr>
    </w:p>
    <w:p w14:paraId="386F00B1" w14:textId="77777777" w:rsidR="00AF45B5" w:rsidRPr="00AF45B5" w:rsidRDefault="00AF45B5" w:rsidP="00AF45B5">
      <w:pPr>
        <w:spacing w:before="167" w:line="280" w:lineRule="exact"/>
        <w:ind w:right="-590"/>
        <w:contextualSpacing/>
        <w:rPr>
          <w:rFonts w:asciiTheme="minorBidi" w:hAnsiTheme="minorBidi"/>
          <w:iCs/>
          <w:sz w:val="21"/>
          <w:szCs w:val="21"/>
        </w:rPr>
      </w:pPr>
      <w:r w:rsidRPr="00AF45B5">
        <w:rPr>
          <w:rFonts w:asciiTheme="minorBidi" w:hAnsiTheme="minorBidi"/>
          <w:iCs/>
          <w:sz w:val="21"/>
          <w:szCs w:val="21"/>
        </w:rPr>
        <w:t>The report shows that ROF will:</w:t>
      </w:r>
    </w:p>
    <w:p w14:paraId="157A5C19" w14:textId="77777777" w:rsidR="00AF45B5" w:rsidRPr="00AF45B5" w:rsidRDefault="00AF45B5" w:rsidP="00AF45B5">
      <w:pPr>
        <w:pStyle w:val="ListParagraph"/>
        <w:numPr>
          <w:ilvl w:val="0"/>
          <w:numId w:val="13"/>
        </w:numPr>
        <w:spacing w:before="167" w:after="0" w:line="280" w:lineRule="exact"/>
        <w:ind w:right="-590"/>
        <w:rPr>
          <w:rFonts w:asciiTheme="minorBidi" w:hAnsiTheme="minorBidi"/>
          <w:iCs/>
          <w:sz w:val="21"/>
          <w:szCs w:val="21"/>
        </w:rPr>
      </w:pPr>
      <w:r w:rsidRPr="00AF45B5">
        <w:rPr>
          <w:rFonts w:asciiTheme="minorBidi" w:hAnsiTheme="minorBidi"/>
          <w:iCs/>
          <w:sz w:val="21"/>
          <w:szCs w:val="21"/>
        </w:rPr>
        <w:t>make the UK’s food supply less safe by further weakening systems that are already too weak.</w:t>
      </w:r>
    </w:p>
    <w:p w14:paraId="122BDDBD" w14:textId="26314D91" w:rsidR="00AF45B5" w:rsidRPr="00AF45B5" w:rsidRDefault="00AF45B5" w:rsidP="00AF45B5">
      <w:pPr>
        <w:pStyle w:val="ListParagraph"/>
        <w:numPr>
          <w:ilvl w:val="0"/>
          <w:numId w:val="13"/>
        </w:numPr>
        <w:spacing w:before="167" w:after="0" w:line="280" w:lineRule="exact"/>
        <w:ind w:right="-590"/>
        <w:rPr>
          <w:rFonts w:asciiTheme="minorBidi" w:hAnsiTheme="minorBidi"/>
          <w:iCs/>
          <w:sz w:val="21"/>
          <w:szCs w:val="21"/>
        </w:rPr>
      </w:pPr>
      <w:r w:rsidRPr="00AF45B5">
        <w:rPr>
          <w:rFonts w:asciiTheme="minorBidi" w:hAnsiTheme="minorBidi"/>
          <w:sz w:val="21"/>
          <w:szCs w:val="21"/>
        </w:rPr>
        <w:t>create irreconcilable conflicts of interests - instead of public officials inspecting food businesses, the companies will cho</w:t>
      </w:r>
      <w:r w:rsidR="001230E1">
        <w:rPr>
          <w:rFonts w:asciiTheme="minorBidi" w:hAnsiTheme="minorBidi"/>
          <w:sz w:val="21"/>
          <w:szCs w:val="21"/>
        </w:rPr>
        <w:t>o</w:t>
      </w:r>
      <w:r w:rsidRPr="00AF45B5">
        <w:rPr>
          <w:rFonts w:asciiTheme="minorBidi" w:hAnsiTheme="minorBidi"/>
          <w:sz w:val="21"/>
          <w:szCs w:val="21"/>
        </w:rPr>
        <w:t>se who will ‘mark their homework’.</w:t>
      </w:r>
    </w:p>
    <w:p w14:paraId="37E6470B" w14:textId="77777777" w:rsidR="00AF45B5" w:rsidRPr="00AF45B5" w:rsidRDefault="00AF45B5" w:rsidP="00AF45B5">
      <w:pPr>
        <w:pStyle w:val="ListParagraph"/>
        <w:numPr>
          <w:ilvl w:val="0"/>
          <w:numId w:val="13"/>
        </w:numPr>
        <w:spacing w:before="167" w:after="0" w:line="280" w:lineRule="exact"/>
        <w:ind w:right="-590"/>
        <w:rPr>
          <w:rFonts w:asciiTheme="minorBidi" w:hAnsiTheme="minorBidi"/>
          <w:iCs/>
          <w:sz w:val="21"/>
          <w:szCs w:val="21"/>
        </w:rPr>
      </w:pPr>
      <w:r w:rsidRPr="00AF45B5">
        <w:rPr>
          <w:rFonts w:asciiTheme="minorBidi" w:hAnsiTheme="minorBidi"/>
          <w:sz w:val="21"/>
          <w:szCs w:val="21"/>
        </w:rPr>
        <w:t xml:space="preserve">hand over responsibility for food safety inspections and audits to private commercial </w:t>
      </w:r>
      <w:r w:rsidRPr="00AF45B5">
        <w:rPr>
          <w:rFonts w:asciiTheme="minorBidi" w:hAnsiTheme="minorBidi"/>
          <w:iCs/>
          <w:sz w:val="21"/>
          <w:szCs w:val="21"/>
        </w:rPr>
        <w:t xml:space="preserve">third-party </w:t>
      </w:r>
      <w:r w:rsidRPr="00AF45B5">
        <w:rPr>
          <w:rFonts w:asciiTheme="minorBidi" w:hAnsiTheme="minorBidi"/>
          <w:sz w:val="21"/>
          <w:szCs w:val="21"/>
        </w:rPr>
        <w:t>providers, when outsourcing to private companies has already been shown to be more expensive, less reliable, and in the case of Carillion unsustainable.</w:t>
      </w:r>
    </w:p>
    <w:p w14:paraId="1840515B" w14:textId="77777777" w:rsidR="00AF45B5" w:rsidRPr="00AF45B5" w:rsidRDefault="00AF45B5" w:rsidP="000808EC">
      <w:pPr>
        <w:pStyle w:val="ListParagraph"/>
        <w:numPr>
          <w:ilvl w:val="0"/>
          <w:numId w:val="13"/>
        </w:numPr>
        <w:spacing w:before="167" w:after="0" w:line="280" w:lineRule="exact"/>
        <w:ind w:right="-590"/>
        <w:rPr>
          <w:rFonts w:asciiTheme="minorBidi" w:hAnsiTheme="minorBidi"/>
          <w:iCs/>
          <w:sz w:val="21"/>
          <w:szCs w:val="21"/>
        </w:rPr>
      </w:pPr>
      <w:r w:rsidRPr="00AF45B5">
        <w:rPr>
          <w:rFonts w:asciiTheme="minorBidi" w:hAnsiTheme="minorBidi"/>
          <w:sz w:val="21"/>
          <w:szCs w:val="21"/>
        </w:rPr>
        <w:t>undermine the</w:t>
      </w:r>
      <w:r w:rsidRPr="00AF45B5">
        <w:rPr>
          <w:rFonts w:asciiTheme="minorBidi" w:hAnsiTheme="minorBidi"/>
          <w:iCs/>
          <w:sz w:val="21"/>
          <w:szCs w:val="21"/>
        </w:rPr>
        <w:t xml:space="preserve"> 1999 Food Safety Act, which assumed that safety and quality standards would be enforced by adequately trained and resourced local authority Environmental Health Officers (EHOs) and Trading Standards Officers (TSOs) in collaboration with Public Analysts - ROF undermines that expectation. </w:t>
      </w:r>
      <w:bookmarkStart w:id="0" w:name="_GoBack"/>
      <w:bookmarkEnd w:id="0"/>
    </w:p>
    <w:p w14:paraId="767DDA29" w14:textId="77777777" w:rsidR="00AF45B5" w:rsidRPr="00AF45B5" w:rsidRDefault="00AF45B5" w:rsidP="00AF45B5">
      <w:pPr>
        <w:spacing w:before="167" w:line="280" w:lineRule="exact"/>
        <w:ind w:right="-590"/>
        <w:contextualSpacing/>
        <w:rPr>
          <w:rFonts w:asciiTheme="minorBidi" w:hAnsiTheme="minorBidi"/>
          <w:iCs/>
          <w:sz w:val="21"/>
          <w:szCs w:val="21"/>
        </w:rPr>
      </w:pPr>
    </w:p>
    <w:p w14:paraId="55274962" w14:textId="77777777" w:rsidR="00AF45B5" w:rsidRPr="00AF45B5" w:rsidRDefault="00AF45B5" w:rsidP="00AF45B5">
      <w:pPr>
        <w:spacing w:before="167" w:line="280" w:lineRule="exact"/>
        <w:ind w:right="-590"/>
        <w:contextualSpacing/>
        <w:rPr>
          <w:rFonts w:asciiTheme="minorBidi" w:hAnsiTheme="minorBidi"/>
          <w:iCs/>
          <w:sz w:val="21"/>
          <w:szCs w:val="21"/>
        </w:rPr>
      </w:pPr>
      <w:r w:rsidRPr="00AF45B5">
        <w:rPr>
          <w:rFonts w:asciiTheme="minorBidi" w:hAnsiTheme="minorBidi"/>
          <w:iCs/>
          <w:sz w:val="21"/>
          <w:szCs w:val="21"/>
        </w:rPr>
        <w:t xml:space="preserve">The report shows that the FSA is already a dangerously weakened body. Its budget has been cut by 23% </w:t>
      </w:r>
      <w:r w:rsidR="00AC3427">
        <w:rPr>
          <w:rFonts w:asciiTheme="minorBidi" w:hAnsiTheme="minorBidi"/>
          <w:iCs/>
          <w:sz w:val="21"/>
          <w:szCs w:val="21"/>
        </w:rPr>
        <w:t xml:space="preserve">from </w:t>
      </w:r>
      <w:r w:rsidRPr="00AF45B5">
        <w:rPr>
          <w:rFonts w:asciiTheme="minorBidi" w:hAnsiTheme="minorBidi"/>
          <w:iCs/>
          <w:sz w:val="21"/>
          <w:szCs w:val="21"/>
        </w:rPr>
        <w:t xml:space="preserve">2011-12 </w:t>
      </w:r>
      <w:r w:rsidR="00AC3427">
        <w:rPr>
          <w:rFonts w:asciiTheme="minorBidi" w:hAnsiTheme="minorBidi"/>
          <w:iCs/>
          <w:sz w:val="21"/>
          <w:szCs w:val="21"/>
        </w:rPr>
        <w:t xml:space="preserve">to </w:t>
      </w:r>
      <w:r w:rsidRPr="00AF45B5">
        <w:rPr>
          <w:rFonts w:asciiTheme="minorBidi" w:hAnsiTheme="minorBidi"/>
          <w:iCs/>
          <w:sz w:val="21"/>
          <w:szCs w:val="21"/>
        </w:rPr>
        <w:t xml:space="preserve">2016-17. The number of samples taken for testing by EHOs in the UK fell by 22%, and in England by almost 25%.  At that rate of reduction, testing will have ceased in less than four years. </w:t>
      </w:r>
    </w:p>
    <w:p w14:paraId="5F37236B" w14:textId="77777777" w:rsidR="00AF45B5" w:rsidRPr="00AF45B5" w:rsidRDefault="00AF45B5" w:rsidP="00AF45B5">
      <w:pPr>
        <w:spacing w:before="167" w:line="280" w:lineRule="exact"/>
        <w:ind w:right="-590"/>
        <w:contextualSpacing/>
        <w:rPr>
          <w:rFonts w:asciiTheme="minorBidi" w:hAnsiTheme="minorBidi"/>
          <w:sz w:val="21"/>
          <w:szCs w:val="21"/>
        </w:rPr>
      </w:pPr>
    </w:p>
    <w:p w14:paraId="6156B282" w14:textId="77777777" w:rsidR="003E3BD3" w:rsidRDefault="00AF45B5" w:rsidP="00AF45B5">
      <w:pPr>
        <w:tabs>
          <w:tab w:val="left" w:pos="6747"/>
        </w:tabs>
        <w:spacing w:before="167" w:line="280" w:lineRule="exact"/>
        <w:ind w:right="-590"/>
        <w:contextualSpacing/>
        <w:rPr>
          <w:rFonts w:asciiTheme="minorBidi" w:hAnsiTheme="minorBidi"/>
          <w:sz w:val="21"/>
          <w:szCs w:val="21"/>
        </w:rPr>
      </w:pPr>
      <w:r w:rsidRPr="00AF45B5">
        <w:rPr>
          <w:rFonts w:asciiTheme="minorBidi" w:hAnsiTheme="minorBidi"/>
          <w:sz w:val="21"/>
          <w:szCs w:val="21"/>
        </w:rPr>
        <w:t xml:space="preserve">The report’s authors found only one aspect of the ROF proposals that could benefit consumers: the proposal to enforce the mandatory registration of all Food Business Operations (FBOs). Local authority EHOs want to be able to refuse to register FBOs that cannot demonstrate they can produce food that is safe and honestly labelled. </w:t>
      </w:r>
    </w:p>
    <w:p w14:paraId="560B21FB" w14:textId="77777777" w:rsidR="003E3BD3" w:rsidRDefault="003E3BD3" w:rsidP="00AF45B5">
      <w:pPr>
        <w:tabs>
          <w:tab w:val="left" w:pos="6747"/>
        </w:tabs>
        <w:spacing w:before="167" w:line="280" w:lineRule="exact"/>
        <w:ind w:right="-590"/>
        <w:contextualSpacing/>
        <w:rPr>
          <w:rFonts w:asciiTheme="minorBidi" w:hAnsiTheme="minorBidi"/>
          <w:sz w:val="21"/>
          <w:szCs w:val="21"/>
        </w:rPr>
      </w:pPr>
    </w:p>
    <w:p w14:paraId="04238496" w14:textId="77777777" w:rsidR="00AF45B5" w:rsidRPr="00AF45B5" w:rsidRDefault="00AF45B5" w:rsidP="00AF45B5">
      <w:pPr>
        <w:tabs>
          <w:tab w:val="left" w:pos="6747"/>
        </w:tabs>
        <w:spacing w:before="167" w:line="280" w:lineRule="exact"/>
        <w:ind w:right="-590"/>
        <w:contextualSpacing/>
        <w:rPr>
          <w:rFonts w:asciiTheme="minorBidi" w:hAnsiTheme="minorBidi"/>
          <w:iCs/>
          <w:sz w:val="21"/>
          <w:szCs w:val="21"/>
        </w:rPr>
      </w:pPr>
      <w:r w:rsidRPr="00AF45B5">
        <w:rPr>
          <w:rFonts w:asciiTheme="minorBidi" w:hAnsiTheme="minorBidi"/>
          <w:sz w:val="21"/>
          <w:szCs w:val="21"/>
        </w:rPr>
        <w:t xml:space="preserve">“They are right”, said Professor Lang. “Currently the FSA knows far too little about what food businesses are doing, but consumers know even less; to push this out of the hands of local authorities is poor governance and could be dangerous for public health.  “As food trade deals with far-off countries are proposed by the Government, who will protect the consumer?”  </w:t>
      </w:r>
    </w:p>
    <w:p w14:paraId="61A21F45" w14:textId="77777777" w:rsidR="00AF45B5" w:rsidRPr="00AF45B5" w:rsidRDefault="00AF45B5" w:rsidP="00AF45B5">
      <w:pPr>
        <w:ind w:right="-590"/>
        <w:contextualSpacing/>
        <w:rPr>
          <w:rFonts w:asciiTheme="minorBidi" w:hAnsiTheme="minorBidi"/>
          <w:sz w:val="21"/>
          <w:szCs w:val="21"/>
        </w:rPr>
      </w:pPr>
    </w:p>
    <w:p w14:paraId="23967D6C" w14:textId="77777777" w:rsidR="00AF45B5" w:rsidRPr="00AF45B5" w:rsidRDefault="00AF45B5" w:rsidP="00AF45B5">
      <w:pPr>
        <w:ind w:right="-590"/>
        <w:contextualSpacing/>
        <w:rPr>
          <w:rFonts w:asciiTheme="minorBidi" w:hAnsiTheme="minorBidi"/>
          <w:b/>
          <w:sz w:val="21"/>
          <w:szCs w:val="21"/>
        </w:rPr>
      </w:pPr>
      <w:r w:rsidRPr="00AF45B5">
        <w:rPr>
          <w:rFonts w:asciiTheme="minorBidi" w:hAnsiTheme="minorBidi"/>
          <w:b/>
          <w:sz w:val="21"/>
          <w:szCs w:val="21"/>
        </w:rPr>
        <w:t xml:space="preserve">Why this matters for Food </w:t>
      </w:r>
      <w:proofErr w:type="gramStart"/>
      <w:r w:rsidRPr="00AF45B5">
        <w:rPr>
          <w:rFonts w:asciiTheme="minorBidi" w:hAnsiTheme="minorBidi"/>
          <w:b/>
          <w:sz w:val="21"/>
          <w:szCs w:val="21"/>
        </w:rPr>
        <w:t>Brexit</w:t>
      </w:r>
      <w:proofErr w:type="gramEnd"/>
    </w:p>
    <w:p w14:paraId="5F566C87" w14:textId="77777777" w:rsidR="00AF45B5" w:rsidRPr="00AF45B5" w:rsidRDefault="00AF45B5" w:rsidP="00AF45B5">
      <w:pPr>
        <w:ind w:right="-590"/>
        <w:contextualSpacing/>
        <w:rPr>
          <w:rFonts w:asciiTheme="minorBidi" w:hAnsiTheme="minorBidi"/>
          <w:sz w:val="21"/>
          <w:szCs w:val="21"/>
        </w:rPr>
      </w:pPr>
    </w:p>
    <w:p w14:paraId="118E5E26" w14:textId="77777777" w:rsidR="00AF45B5" w:rsidRPr="00AF45B5" w:rsidRDefault="00AF45B5" w:rsidP="00AF45B5">
      <w:pPr>
        <w:ind w:right="-590"/>
        <w:contextualSpacing/>
        <w:rPr>
          <w:rFonts w:asciiTheme="minorBidi" w:hAnsiTheme="minorBidi"/>
          <w:sz w:val="21"/>
          <w:szCs w:val="21"/>
        </w:rPr>
      </w:pPr>
      <w:r w:rsidRPr="00AF45B5">
        <w:rPr>
          <w:rFonts w:asciiTheme="minorBidi" w:hAnsiTheme="minorBidi"/>
          <w:sz w:val="21"/>
          <w:szCs w:val="21"/>
        </w:rPr>
        <w:t xml:space="preserve">Implementing the proposals in </w:t>
      </w:r>
      <w:proofErr w:type="spellStart"/>
      <w:r w:rsidRPr="00AF45B5">
        <w:rPr>
          <w:rFonts w:asciiTheme="minorBidi" w:hAnsiTheme="minorBidi"/>
          <w:sz w:val="21"/>
          <w:szCs w:val="21"/>
        </w:rPr>
        <w:t>RoF</w:t>
      </w:r>
      <w:proofErr w:type="spellEnd"/>
      <w:r w:rsidRPr="00AF45B5">
        <w:rPr>
          <w:rFonts w:asciiTheme="minorBidi" w:hAnsiTheme="minorBidi"/>
          <w:sz w:val="21"/>
          <w:szCs w:val="21"/>
        </w:rPr>
        <w:t xml:space="preserve"> 2017 </w:t>
      </w:r>
      <w:r w:rsidR="003336AC">
        <w:rPr>
          <w:rFonts w:asciiTheme="minorBidi" w:hAnsiTheme="minorBidi"/>
          <w:sz w:val="21"/>
          <w:szCs w:val="21"/>
        </w:rPr>
        <w:t xml:space="preserve">is highly likely to </w:t>
      </w:r>
      <w:r w:rsidRPr="00AF45B5">
        <w:rPr>
          <w:rFonts w:asciiTheme="minorBidi" w:hAnsiTheme="minorBidi"/>
          <w:sz w:val="21"/>
          <w:szCs w:val="21"/>
        </w:rPr>
        <w:t xml:space="preserve">harm the ability of British producers to sell their food products in the EU market after Brexit.  The EU will almost certainly refuse to accept imports of UK food </w:t>
      </w:r>
      <w:proofErr w:type="gramStart"/>
      <w:r w:rsidRPr="00AF45B5">
        <w:rPr>
          <w:rFonts w:asciiTheme="minorBidi" w:hAnsiTheme="minorBidi"/>
          <w:sz w:val="21"/>
          <w:szCs w:val="21"/>
        </w:rPr>
        <w:t>products, unless</w:t>
      </w:r>
      <w:proofErr w:type="gramEnd"/>
      <w:r w:rsidRPr="00AF45B5">
        <w:rPr>
          <w:rFonts w:asciiTheme="minorBidi" w:hAnsiTheme="minorBidi"/>
          <w:sz w:val="21"/>
          <w:szCs w:val="21"/>
        </w:rPr>
        <w:t xml:space="preserve"> safety standards are enforced by public sector institutions and personnel. </w:t>
      </w:r>
    </w:p>
    <w:p w14:paraId="1DBE88E3" w14:textId="77777777" w:rsidR="00AF45B5" w:rsidRPr="00AF45B5" w:rsidRDefault="00AF45B5" w:rsidP="00AF45B5">
      <w:pPr>
        <w:ind w:right="-590"/>
        <w:contextualSpacing/>
        <w:rPr>
          <w:rFonts w:asciiTheme="minorBidi" w:hAnsiTheme="minorBidi"/>
          <w:iCs/>
          <w:sz w:val="21"/>
          <w:szCs w:val="21"/>
        </w:rPr>
      </w:pPr>
    </w:p>
    <w:p w14:paraId="31961EF8" w14:textId="77777777" w:rsidR="00AF45B5" w:rsidRPr="00AF45B5" w:rsidRDefault="00AF45B5" w:rsidP="00AF45B5">
      <w:pPr>
        <w:ind w:right="-590"/>
        <w:contextualSpacing/>
        <w:rPr>
          <w:rFonts w:asciiTheme="minorBidi" w:hAnsiTheme="minorBidi"/>
          <w:iCs/>
          <w:sz w:val="21"/>
          <w:szCs w:val="21"/>
        </w:rPr>
      </w:pPr>
      <w:r w:rsidRPr="00AF45B5">
        <w:rPr>
          <w:rFonts w:asciiTheme="minorBidi" w:hAnsiTheme="minorBidi"/>
          <w:iCs/>
          <w:sz w:val="21"/>
          <w:szCs w:val="21"/>
        </w:rPr>
        <w:t xml:space="preserve">A major issue is access to industrial food-safety data. The FSA hopes that FBOs and third-party assurance sub-contractors will readily share any data the FSAs request, but in exchange the FSA has promised to keep all those data, and presumably all analyses of those data, entirely confidential. </w:t>
      </w:r>
    </w:p>
    <w:p w14:paraId="672ED3E7" w14:textId="77777777" w:rsidR="00AF45B5" w:rsidRPr="00AF45B5" w:rsidRDefault="00AF45B5" w:rsidP="00AF45B5">
      <w:pPr>
        <w:pStyle w:val="Heading2"/>
        <w:ind w:right="-590"/>
        <w:rPr>
          <w:rFonts w:asciiTheme="minorBidi" w:hAnsiTheme="minorBidi" w:cstheme="minorBidi"/>
          <w:iCs/>
          <w:sz w:val="21"/>
          <w:szCs w:val="21"/>
        </w:rPr>
      </w:pPr>
      <w:bookmarkStart w:id="1" w:name="_Toc506299791"/>
      <w:bookmarkStart w:id="2" w:name="_Toc507431804"/>
      <w:r w:rsidRPr="00AF45B5">
        <w:rPr>
          <w:rFonts w:asciiTheme="minorBidi" w:hAnsiTheme="minorBidi" w:cstheme="minorBidi"/>
          <w:sz w:val="21"/>
          <w:szCs w:val="21"/>
        </w:rPr>
        <w:t>Recommendations</w:t>
      </w:r>
      <w:bookmarkEnd w:id="1"/>
      <w:bookmarkEnd w:id="2"/>
    </w:p>
    <w:p w14:paraId="0A842D85" w14:textId="77777777" w:rsidR="00AF45B5" w:rsidRPr="00AF45B5" w:rsidRDefault="00AF45B5" w:rsidP="00AF45B5">
      <w:pPr>
        <w:ind w:right="-590"/>
        <w:rPr>
          <w:rFonts w:asciiTheme="minorBidi" w:hAnsiTheme="minorBidi"/>
          <w:iCs/>
          <w:sz w:val="21"/>
          <w:szCs w:val="21"/>
        </w:rPr>
      </w:pPr>
      <w:r w:rsidRPr="00AF45B5">
        <w:rPr>
          <w:rFonts w:asciiTheme="minorBidi" w:hAnsiTheme="minorBidi"/>
          <w:iCs/>
          <w:sz w:val="21"/>
          <w:szCs w:val="21"/>
        </w:rPr>
        <w:t xml:space="preserve">The </w:t>
      </w:r>
      <w:r>
        <w:rPr>
          <w:rFonts w:asciiTheme="minorBidi" w:hAnsiTheme="minorBidi"/>
          <w:iCs/>
          <w:sz w:val="21"/>
          <w:szCs w:val="21"/>
        </w:rPr>
        <w:t>a</w:t>
      </w:r>
      <w:r w:rsidRPr="00AF45B5">
        <w:rPr>
          <w:rFonts w:asciiTheme="minorBidi" w:hAnsiTheme="minorBidi"/>
          <w:iCs/>
          <w:sz w:val="21"/>
          <w:szCs w:val="21"/>
        </w:rPr>
        <w:t>uthors</w:t>
      </w:r>
      <w:r w:rsidR="003E3BD3">
        <w:rPr>
          <w:rFonts w:asciiTheme="minorBidi" w:hAnsiTheme="minorBidi"/>
          <w:iCs/>
          <w:sz w:val="21"/>
          <w:szCs w:val="21"/>
        </w:rPr>
        <w:t xml:space="preserve"> </w:t>
      </w:r>
      <w:r w:rsidR="00F55650" w:rsidRPr="00AF45B5">
        <w:rPr>
          <w:rFonts w:asciiTheme="minorBidi" w:hAnsiTheme="minorBidi"/>
          <w:iCs/>
          <w:sz w:val="21"/>
          <w:szCs w:val="21"/>
        </w:rPr>
        <w:t>recommend</w:t>
      </w:r>
      <w:r w:rsidR="005B280C">
        <w:rPr>
          <w:rFonts w:asciiTheme="minorBidi" w:hAnsiTheme="minorBidi"/>
          <w:iCs/>
          <w:sz w:val="21"/>
          <w:szCs w:val="21"/>
        </w:rPr>
        <w:t xml:space="preserve"> </w:t>
      </w:r>
      <w:proofErr w:type="gramStart"/>
      <w:r w:rsidR="005B280C">
        <w:rPr>
          <w:rFonts w:asciiTheme="minorBidi" w:hAnsiTheme="minorBidi"/>
          <w:iCs/>
          <w:sz w:val="21"/>
          <w:szCs w:val="21"/>
        </w:rPr>
        <w:t>that</w:t>
      </w:r>
      <w:r w:rsidR="003E3BD3">
        <w:rPr>
          <w:rFonts w:asciiTheme="minorBidi" w:hAnsiTheme="minorBidi"/>
          <w:iCs/>
          <w:sz w:val="21"/>
          <w:szCs w:val="21"/>
        </w:rPr>
        <w:t>:</w:t>
      </w:r>
      <w:r w:rsidRPr="00AF45B5">
        <w:rPr>
          <w:rFonts w:asciiTheme="minorBidi" w:hAnsiTheme="minorBidi"/>
          <w:iCs/>
          <w:sz w:val="21"/>
          <w:szCs w:val="21"/>
        </w:rPr>
        <w:t>.</w:t>
      </w:r>
      <w:proofErr w:type="gramEnd"/>
      <w:r w:rsidRPr="00AF45B5">
        <w:rPr>
          <w:rFonts w:asciiTheme="minorBidi" w:hAnsiTheme="minorBidi"/>
          <w:iCs/>
          <w:sz w:val="21"/>
          <w:szCs w:val="21"/>
        </w:rPr>
        <w:t xml:space="preserve"> :</w:t>
      </w:r>
    </w:p>
    <w:p w14:paraId="0BD310AD" w14:textId="77777777" w:rsidR="003E3BD3" w:rsidRDefault="003E3BD3" w:rsidP="00AF45B5">
      <w:pPr>
        <w:pStyle w:val="ListParagraph"/>
        <w:numPr>
          <w:ilvl w:val="0"/>
          <w:numId w:val="14"/>
        </w:numPr>
        <w:spacing w:after="0" w:line="240" w:lineRule="auto"/>
        <w:ind w:right="-590"/>
        <w:contextualSpacing w:val="0"/>
        <w:rPr>
          <w:rFonts w:asciiTheme="minorBidi" w:hAnsiTheme="minorBidi"/>
          <w:iCs/>
          <w:sz w:val="21"/>
          <w:szCs w:val="21"/>
        </w:rPr>
      </w:pPr>
      <w:r w:rsidRPr="00AF45B5">
        <w:rPr>
          <w:rFonts w:asciiTheme="minorBidi" w:hAnsiTheme="minorBidi"/>
          <w:iCs/>
          <w:sz w:val="21"/>
          <w:szCs w:val="21"/>
        </w:rPr>
        <w:t xml:space="preserve">ROF </w:t>
      </w:r>
      <w:r w:rsidR="00F55650">
        <w:rPr>
          <w:rFonts w:asciiTheme="minorBidi" w:hAnsiTheme="minorBidi"/>
          <w:iCs/>
          <w:sz w:val="21"/>
          <w:szCs w:val="21"/>
        </w:rPr>
        <w:t>should</w:t>
      </w:r>
      <w:r w:rsidRPr="00AF45B5">
        <w:rPr>
          <w:rFonts w:asciiTheme="minorBidi" w:hAnsiTheme="minorBidi"/>
          <w:iCs/>
          <w:sz w:val="21"/>
          <w:szCs w:val="21"/>
        </w:rPr>
        <w:t xml:space="preserve"> be put on hold. Almost every aspect of ROF should be discarded</w:t>
      </w:r>
      <w:r w:rsidR="00F55650">
        <w:rPr>
          <w:rFonts w:asciiTheme="minorBidi" w:hAnsiTheme="minorBidi"/>
          <w:iCs/>
          <w:sz w:val="21"/>
          <w:szCs w:val="21"/>
        </w:rPr>
        <w:t>, especially while the uncertainties of Brexit for food trade and regulation</w:t>
      </w:r>
      <w:r w:rsidR="005B280C">
        <w:rPr>
          <w:rFonts w:asciiTheme="minorBidi" w:hAnsiTheme="minorBidi"/>
          <w:iCs/>
          <w:sz w:val="21"/>
          <w:szCs w:val="21"/>
        </w:rPr>
        <w:t xml:space="preserve"> remain unresolved</w:t>
      </w:r>
      <w:r w:rsidR="00F55650">
        <w:rPr>
          <w:rFonts w:asciiTheme="minorBidi" w:hAnsiTheme="minorBidi"/>
          <w:iCs/>
          <w:sz w:val="21"/>
          <w:szCs w:val="21"/>
        </w:rPr>
        <w:t>.</w:t>
      </w:r>
    </w:p>
    <w:p w14:paraId="3B3369A8" w14:textId="77777777" w:rsidR="003E3BD3" w:rsidRDefault="003E3BD3" w:rsidP="00AF45B5">
      <w:pPr>
        <w:pStyle w:val="ListParagraph"/>
        <w:numPr>
          <w:ilvl w:val="0"/>
          <w:numId w:val="14"/>
        </w:numPr>
        <w:spacing w:after="0" w:line="240" w:lineRule="auto"/>
        <w:ind w:right="-590"/>
        <w:contextualSpacing w:val="0"/>
        <w:rPr>
          <w:rFonts w:asciiTheme="minorBidi" w:hAnsiTheme="minorBidi"/>
          <w:iCs/>
          <w:sz w:val="21"/>
          <w:szCs w:val="21"/>
        </w:rPr>
      </w:pPr>
      <w:r w:rsidRPr="00AF45B5">
        <w:rPr>
          <w:rFonts w:asciiTheme="minorBidi" w:hAnsiTheme="minorBidi"/>
          <w:iCs/>
          <w:sz w:val="21"/>
          <w:szCs w:val="21"/>
        </w:rPr>
        <w:lastRenderedPageBreak/>
        <w:t>A special Parliamentary joint select committee, between the Health and Environment, Food &amp; Rural Affairs committees, should be urgently convened to review the ROF proposals.</w:t>
      </w:r>
    </w:p>
    <w:p w14:paraId="3E691D56" w14:textId="77777777" w:rsidR="00AF45B5" w:rsidRPr="00AF45B5" w:rsidRDefault="00CD679A" w:rsidP="00AF45B5">
      <w:pPr>
        <w:pStyle w:val="ListParagraph"/>
        <w:numPr>
          <w:ilvl w:val="0"/>
          <w:numId w:val="14"/>
        </w:numPr>
        <w:spacing w:after="0" w:line="240" w:lineRule="auto"/>
        <w:ind w:right="-590"/>
        <w:contextualSpacing w:val="0"/>
        <w:rPr>
          <w:rFonts w:asciiTheme="minorBidi" w:hAnsiTheme="minorBidi"/>
          <w:iCs/>
          <w:sz w:val="21"/>
          <w:szCs w:val="21"/>
        </w:rPr>
      </w:pPr>
      <w:r>
        <w:rPr>
          <w:rFonts w:asciiTheme="minorBidi" w:hAnsiTheme="minorBidi"/>
          <w:iCs/>
          <w:sz w:val="21"/>
          <w:szCs w:val="21"/>
        </w:rPr>
        <w:t>In any event, t</w:t>
      </w:r>
      <w:r w:rsidR="00AF45B5" w:rsidRPr="00AF45B5">
        <w:rPr>
          <w:rFonts w:asciiTheme="minorBidi" w:hAnsiTheme="minorBidi"/>
          <w:iCs/>
          <w:sz w:val="21"/>
          <w:szCs w:val="21"/>
        </w:rPr>
        <w:t xml:space="preserve">he 1999 Food Safety Act should be </w:t>
      </w:r>
      <w:r w:rsidR="003336AC">
        <w:rPr>
          <w:rFonts w:asciiTheme="minorBidi" w:hAnsiTheme="minorBidi"/>
          <w:iCs/>
          <w:sz w:val="21"/>
          <w:szCs w:val="21"/>
        </w:rPr>
        <w:t xml:space="preserve">immediately </w:t>
      </w:r>
      <w:r w:rsidR="00AF45B5" w:rsidRPr="00AF45B5">
        <w:rPr>
          <w:rFonts w:asciiTheme="minorBidi" w:hAnsiTheme="minorBidi"/>
          <w:iCs/>
          <w:sz w:val="21"/>
          <w:szCs w:val="21"/>
        </w:rPr>
        <w:t>amended to give the FSA (and counterparts in Scotland, Northern Ireland and Wales) the power to oblige FBOs to collect minimum food safety and quality monitoring data on their ingredients, processes and products, and the power to require all FBOs to share those data with their local authorities and with the FSA.</w:t>
      </w:r>
    </w:p>
    <w:p w14:paraId="619734C5" w14:textId="77777777" w:rsidR="00AF45B5" w:rsidRPr="00AF45B5" w:rsidRDefault="00AF45B5" w:rsidP="00AF45B5">
      <w:pPr>
        <w:pStyle w:val="ListParagraph"/>
        <w:numPr>
          <w:ilvl w:val="0"/>
          <w:numId w:val="14"/>
        </w:numPr>
        <w:spacing w:before="167" w:after="0" w:line="280" w:lineRule="exact"/>
        <w:ind w:right="-590"/>
        <w:rPr>
          <w:rFonts w:asciiTheme="minorBidi" w:hAnsiTheme="minorBidi"/>
          <w:iCs/>
          <w:sz w:val="21"/>
          <w:szCs w:val="21"/>
        </w:rPr>
      </w:pPr>
      <w:r w:rsidRPr="00AF45B5">
        <w:rPr>
          <w:rFonts w:asciiTheme="minorBidi" w:hAnsiTheme="minorBidi"/>
          <w:iCs/>
          <w:sz w:val="21"/>
          <w:szCs w:val="21"/>
        </w:rPr>
        <w:t xml:space="preserve">Food safety data </w:t>
      </w:r>
      <w:r w:rsidR="003336AC">
        <w:rPr>
          <w:rFonts w:asciiTheme="minorBidi" w:hAnsiTheme="minorBidi"/>
          <w:iCs/>
          <w:sz w:val="21"/>
          <w:szCs w:val="21"/>
        </w:rPr>
        <w:t xml:space="preserve">already being collected </w:t>
      </w:r>
      <w:r w:rsidRPr="00AF45B5">
        <w:rPr>
          <w:rFonts w:asciiTheme="minorBidi" w:hAnsiTheme="minorBidi"/>
          <w:iCs/>
          <w:sz w:val="21"/>
          <w:szCs w:val="21"/>
        </w:rPr>
        <w:t>should be used to create and publish food safety performance league tables, categorising all types of FBOs along the lines of the Food Hygiene Rating System, rather than restricting that scheme just to restaurants and cafes.</w:t>
      </w:r>
    </w:p>
    <w:p w14:paraId="00D0632E" w14:textId="77777777" w:rsidR="00AF45B5" w:rsidRPr="00AF45B5" w:rsidRDefault="00AF45B5" w:rsidP="00770A5A">
      <w:pPr>
        <w:pStyle w:val="ListParagraph"/>
        <w:spacing w:after="0" w:line="240" w:lineRule="auto"/>
        <w:ind w:right="-590"/>
        <w:rPr>
          <w:rFonts w:asciiTheme="minorBidi" w:hAnsiTheme="minorBidi"/>
          <w:sz w:val="21"/>
          <w:szCs w:val="21"/>
        </w:rPr>
      </w:pPr>
    </w:p>
    <w:p w14:paraId="5579879E" w14:textId="77777777" w:rsidR="00AF45B5" w:rsidRPr="00AF45B5" w:rsidRDefault="00AF45B5" w:rsidP="00AF45B5">
      <w:pPr>
        <w:pStyle w:val="ListParagraph"/>
        <w:spacing w:after="0" w:line="240" w:lineRule="auto"/>
        <w:ind w:right="-590"/>
        <w:rPr>
          <w:rFonts w:asciiTheme="minorBidi" w:hAnsiTheme="minorBidi"/>
          <w:sz w:val="21"/>
          <w:szCs w:val="21"/>
        </w:rPr>
      </w:pPr>
    </w:p>
    <w:p w14:paraId="3254A32C" w14:textId="77777777" w:rsidR="00AF45B5" w:rsidRPr="00AF45B5" w:rsidRDefault="00AF45B5" w:rsidP="00AF45B5">
      <w:pPr>
        <w:spacing w:after="0" w:line="240" w:lineRule="auto"/>
        <w:rPr>
          <w:rFonts w:asciiTheme="minorBidi" w:hAnsiTheme="minorBidi"/>
          <w:b/>
          <w:sz w:val="21"/>
          <w:szCs w:val="21"/>
        </w:rPr>
      </w:pPr>
      <w:r w:rsidRPr="00AF45B5">
        <w:rPr>
          <w:rFonts w:asciiTheme="minorBidi" w:hAnsiTheme="minorBidi"/>
          <w:b/>
          <w:sz w:val="21"/>
          <w:szCs w:val="21"/>
        </w:rPr>
        <w:t>ENDS</w:t>
      </w:r>
    </w:p>
    <w:p w14:paraId="7404AE11" w14:textId="77777777" w:rsidR="00AF45B5" w:rsidRPr="00AF45B5" w:rsidRDefault="00AF45B5" w:rsidP="00AF45B5">
      <w:pPr>
        <w:spacing w:after="0" w:line="240" w:lineRule="auto"/>
        <w:rPr>
          <w:rFonts w:asciiTheme="minorBidi" w:hAnsiTheme="minorBidi"/>
          <w:b/>
          <w:sz w:val="21"/>
          <w:szCs w:val="21"/>
        </w:rPr>
      </w:pPr>
    </w:p>
    <w:p w14:paraId="7296AF45" w14:textId="77777777" w:rsidR="00AF45B5" w:rsidRPr="00AF45B5" w:rsidRDefault="00AF45B5" w:rsidP="00AF45B5">
      <w:pPr>
        <w:spacing w:after="0" w:line="240" w:lineRule="auto"/>
        <w:rPr>
          <w:rFonts w:asciiTheme="minorBidi" w:hAnsiTheme="minorBidi"/>
          <w:b/>
          <w:sz w:val="21"/>
          <w:szCs w:val="21"/>
        </w:rPr>
      </w:pPr>
      <w:r w:rsidRPr="00AF45B5">
        <w:rPr>
          <w:rFonts w:asciiTheme="minorBidi" w:hAnsiTheme="minorBidi"/>
          <w:b/>
          <w:sz w:val="21"/>
          <w:szCs w:val="21"/>
        </w:rPr>
        <w:t>Notes to editors</w:t>
      </w:r>
    </w:p>
    <w:p w14:paraId="19CED5E4" w14:textId="77777777" w:rsidR="00AF45B5" w:rsidRPr="00AF45B5" w:rsidRDefault="00AF45B5" w:rsidP="00AF45B5">
      <w:pPr>
        <w:spacing w:after="0" w:line="240" w:lineRule="auto"/>
        <w:rPr>
          <w:rFonts w:asciiTheme="minorBidi" w:hAnsiTheme="minorBidi"/>
          <w:b/>
          <w:sz w:val="21"/>
          <w:szCs w:val="21"/>
        </w:rPr>
      </w:pPr>
    </w:p>
    <w:p w14:paraId="2EF04DFE" w14:textId="77777777" w:rsidR="00AF45B5" w:rsidRPr="00AF45B5" w:rsidRDefault="00AF45B5" w:rsidP="00AF45B5">
      <w:pPr>
        <w:spacing w:after="0" w:line="240" w:lineRule="auto"/>
        <w:rPr>
          <w:rFonts w:asciiTheme="minorBidi" w:hAnsiTheme="minorBidi"/>
          <w:sz w:val="21"/>
          <w:szCs w:val="21"/>
        </w:rPr>
      </w:pPr>
      <w:r w:rsidRPr="00AF45B5">
        <w:rPr>
          <w:rFonts w:asciiTheme="minorBidi" w:hAnsiTheme="minorBidi"/>
          <w:sz w:val="21"/>
          <w:szCs w:val="21"/>
        </w:rPr>
        <w:t xml:space="preserve">The briefing paper </w:t>
      </w:r>
      <w:r w:rsidRPr="00AF45B5">
        <w:rPr>
          <w:rFonts w:asciiTheme="minorBidi" w:hAnsiTheme="minorBidi"/>
          <w:b/>
          <w:i/>
          <w:sz w:val="21"/>
          <w:szCs w:val="21"/>
        </w:rPr>
        <w:t>Weakening UK food law enforcement: a risky tactic in Brexit</w:t>
      </w:r>
      <w:r w:rsidRPr="00AF45B5">
        <w:rPr>
          <w:rFonts w:asciiTheme="minorBidi" w:hAnsiTheme="minorBidi"/>
          <w:sz w:val="21"/>
          <w:szCs w:val="21"/>
        </w:rPr>
        <w:t xml:space="preserve"> is available </w:t>
      </w:r>
      <w:r w:rsidR="00770A5A">
        <w:rPr>
          <w:rFonts w:asciiTheme="minorBidi" w:hAnsiTheme="minorBidi"/>
          <w:sz w:val="21"/>
          <w:szCs w:val="21"/>
        </w:rPr>
        <w:t xml:space="preserve">in advance </w:t>
      </w:r>
      <w:r w:rsidRPr="00AF45B5">
        <w:rPr>
          <w:rFonts w:asciiTheme="minorBidi" w:hAnsiTheme="minorBidi"/>
          <w:sz w:val="21"/>
          <w:szCs w:val="21"/>
        </w:rPr>
        <w:t xml:space="preserve">for journalists </w:t>
      </w:r>
      <w:r w:rsidR="00770A5A">
        <w:rPr>
          <w:rFonts w:asciiTheme="minorBidi" w:hAnsiTheme="minorBidi"/>
          <w:sz w:val="21"/>
          <w:szCs w:val="21"/>
        </w:rPr>
        <w:t xml:space="preserve">only </w:t>
      </w:r>
      <w:r w:rsidRPr="00AF45B5">
        <w:rPr>
          <w:rFonts w:asciiTheme="minorBidi" w:hAnsiTheme="minorBidi"/>
          <w:sz w:val="21"/>
          <w:szCs w:val="21"/>
        </w:rPr>
        <w:t xml:space="preserve">at: </w:t>
      </w:r>
      <w:hyperlink r:id="rId11" w:history="1">
        <w:r w:rsidR="00770A5A" w:rsidRPr="007E6847">
          <w:rPr>
            <w:rStyle w:val="Hyperlink"/>
            <w:rFonts w:asciiTheme="minorBidi" w:hAnsiTheme="minorBidi"/>
            <w:sz w:val="21"/>
            <w:szCs w:val="21"/>
          </w:rPr>
          <w:t>http://foodresearch.org.uk/publications/weakening-uk-food-law-enforcement/</w:t>
        </w:r>
      </w:hyperlink>
      <w:r w:rsidR="00770A5A">
        <w:rPr>
          <w:rFonts w:asciiTheme="minorBidi" w:hAnsiTheme="minorBidi"/>
          <w:sz w:val="21"/>
          <w:szCs w:val="21"/>
        </w:rPr>
        <w:t xml:space="preserve"> (use password </w:t>
      </w:r>
      <w:r w:rsidR="00770A5A" w:rsidRPr="00770A5A">
        <w:rPr>
          <w:rFonts w:asciiTheme="minorBidi" w:hAnsiTheme="minorBidi"/>
          <w:b/>
          <w:bCs/>
          <w:sz w:val="21"/>
          <w:szCs w:val="21"/>
        </w:rPr>
        <w:t>FRC</w:t>
      </w:r>
      <w:r w:rsidR="00770A5A">
        <w:rPr>
          <w:rFonts w:asciiTheme="minorBidi" w:hAnsiTheme="minorBidi"/>
          <w:sz w:val="21"/>
          <w:szCs w:val="21"/>
        </w:rPr>
        <w:t>).</w:t>
      </w:r>
    </w:p>
    <w:p w14:paraId="53ECCBA9" w14:textId="77777777" w:rsidR="00AF45B5" w:rsidRPr="00AF45B5" w:rsidRDefault="00AF45B5" w:rsidP="00AF45B5">
      <w:pPr>
        <w:spacing w:after="0" w:line="240" w:lineRule="auto"/>
        <w:rPr>
          <w:rFonts w:asciiTheme="minorBidi" w:hAnsiTheme="minorBidi"/>
          <w:sz w:val="21"/>
          <w:szCs w:val="21"/>
        </w:rPr>
      </w:pPr>
    </w:p>
    <w:p w14:paraId="3E4DE9B0" w14:textId="77777777" w:rsidR="00AF45B5" w:rsidRPr="00AF45B5" w:rsidRDefault="00AF45B5" w:rsidP="00770A5A">
      <w:pPr>
        <w:spacing w:after="0" w:line="240" w:lineRule="auto"/>
        <w:rPr>
          <w:rFonts w:asciiTheme="minorBidi" w:hAnsiTheme="minorBidi"/>
          <w:sz w:val="21"/>
          <w:szCs w:val="21"/>
        </w:rPr>
      </w:pPr>
      <w:r w:rsidRPr="00AF45B5">
        <w:rPr>
          <w:rFonts w:asciiTheme="minorBidi" w:hAnsiTheme="minorBidi"/>
          <w:sz w:val="21"/>
          <w:szCs w:val="21"/>
        </w:rPr>
        <w:t xml:space="preserve">It will be published on the Food Research Collaboration website </w:t>
      </w:r>
      <w:r w:rsidR="00770A5A">
        <w:rPr>
          <w:rFonts w:asciiTheme="minorBidi" w:hAnsiTheme="minorBidi"/>
          <w:sz w:val="21"/>
          <w:szCs w:val="21"/>
        </w:rPr>
        <w:t xml:space="preserve">at 00.01AM (GMT) </w:t>
      </w:r>
      <w:r w:rsidRPr="00AF45B5">
        <w:rPr>
          <w:rFonts w:asciiTheme="minorBidi" w:hAnsiTheme="minorBidi"/>
          <w:sz w:val="21"/>
          <w:szCs w:val="21"/>
        </w:rPr>
        <w:t xml:space="preserve">on </w:t>
      </w:r>
      <w:r w:rsidR="00770A5A">
        <w:rPr>
          <w:rFonts w:asciiTheme="minorBidi" w:hAnsiTheme="minorBidi"/>
          <w:sz w:val="21"/>
          <w:szCs w:val="21"/>
        </w:rPr>
        <w:t>Friday 9 March 2018.</w:t>
      </w:r>
    </w:p>
    <w:p w14:paraId="4E0ACFDE" w14:textId="77777777" w:rsidR="00AF45B5" w:rsidRPr="00AF45B5" w:rsidRDefault="00AF45B5" w:rsidP="00AF45B5">
      <w:pPr>
        <w:spacing w:after="0" w:line="240" w:lineRule="auto"/>
        <w:rPr>
          <w:rFonts w:asciiTheme="minorBidi" w:hAnsiTheme="minorBidi"/>
          <w:sz w:val="21"/>
          <w:szCs w:val="21"/>
        </w:rPr>
      </w:pPr>
    </w:p>
    <w:p w14:paraId="0FD543B4" w14:textId="77777777" w:rsidR="00AF45B5" w:rsidRPr="00AF45B5" w:rsidRDefault="00AF45B5" w:rsidP="00AF45B5">
      <w:pPr>
        <w:spacing w:after="0" w:line="240" w:lineRule="auto"/>
        <w:rPr>
          <w:rFonts w:asciiTheme="minorBidi" w:hAnsiTheme="minorBidi"/>
          <w:sz w:val="21"/>
          <w:szCs w:val="21"/>
        </w:rPr>
      </w:pPr>
      <w:r w:rsidRPr="00AF45B5">
        <w:rPr>
          <w:rFonts w:asciiTheme="minorBidi" w:hAnsiTheme="minorBidi"/>
          <w:bCs/>
          <w:sz w:val="21"/>
          <w:szCs w:val="21"/>
        </w:rPr>
        <w:t>Please send media enquiries to:</w:t>
      </w:r>
    </w:p>
    <w:p w14:paraId="039311E2" w14:textId="77777777" w:rsidR="00AF45B5" w:rsidRPr="00AF45B5" w:rsidRDefault="00AF45B5" w:rsidP="00AF45B5">
      <w:pPr>
        <w:spacing w:after="0" w:line="240" w:lineRule="auto"/>
        <w:rPr>
          <w:rFonts w:asciiTheme="minorBidi" w:hAnsiTheme="minorBidi"/>
          <w:b/>
          <w:bCs/>
          <w:sz w:val="21"/>
          <w:szCs w:val="21"/>
        </w:rPr>
      </w:pPr>
    </w:p>
    <w:p w14:paraId="3C21B523" w14:textId="77777777" w:rsidR="00AF45B5" w:rsidRPr="00AF45B5" w:rsidRDefault="00AF45B5" w:rsidP="00AF45B5">
      <w:pPr>
        <w:pStyle w:val="ListParagraph"/>
        <w:numPr>
          <w:ilvl w:val="0"/>
          <w:numId w:val="12"/>
        </w:numPr>
        <w:spacing w:after="0" w:line="240" w:lineRule="auto"/>
        <w:contextualSpacing w:val="0"/>
        <w:rPr>
          <w:rFonts w:asciiTheme="minorBidi" w:hAnsiTheme="minorBidi"/>
          <w:bCs/>
          <w:sz w:val="21"/>
          <w:szCs w:val="21"/>
        </w:rPr>
      </w:pPr>
      <w:r w:rsidRPr="00AF45B5">
        <w:rPr>
          <w:rFonts w:asciiTheme="minorBidi" w:hAnsiTheme="minorBidi"/>
          <w:bCs/>
          <w:sz w:val="21"/>
          <w:szCs w:val="21"/>
        </w:rPr>
        <w:t xml:space="preserve">James Hakner (University of Sussex): </w:t>
      </w:r>
      <w:hyperlink r:id="rId12" w:history="1">
        <w:r w:rsidRPr="00AF45B5">
          <w:rPr>
            <w:rStyle w:val="Hyperlink"/>
            <w:rFonts w:asciiTheme="minorBidi" w:hAnsiTheme="minorBidi"/>
            <w:bCs/>
            <w:sz w:val="21"/>
            <w:szCs w:val="21"/>
          </w:rPr>
          <w:t>press@sussex.ac.uk</w:t>
        </w:r>
      </w:hyperlink>
      <w:r w:rsidRPr="00AF45B5">
        <w:rPr>
          <w:rFonts w:asciiTheme="minorBidi" w:hAnsiTheme="minorBidi"/>
          <w:bCs/>
          <w:sz w:val="21"/>
          <w:szCs w:val="21"/>
        </w:rPr>
        <w:t>; 01273 877966</w:t>
      </w:r>
      <w:r w:rsidR="00770A5A">
        <w:rPr>
          <w:rFonts w:asciiTheme="minorBidi" w:hAnsiTheme="minorBidi"/>
          <w:bCs/>
          <w:sz w:val="21"/>
          <w:szCs w:val="21"/>
        </w:rPr>
        <w:t>, 07957 283767</w:t>
      </w:r>
    </w:p>
    <w:p w14:paraId="742ED5BB" w14:textId="77777777" w:rsidR="00AF45B5" w:rsidRPr="00AF45B5" w:rsidRDefault="00AF45B5" w:rsidP="00AF45B5">
      <w:pPr>
        <w:pStyle w:val="ListParagraph"/>
        <w:numPr>
          <w:ilvl w:val="0"/>
          <w:numId w:val="12"/>
        </w:numPr>
        <w:spacing w:after="0" w:line="240" w:lineRule="auto"/>
        <w:contextualSpacing w:val="0"/>
        <w:rPr>
          <w:rFonts w:asciiTheme="minorBidi" w:hAnsiTheme="minorBidi"/>
          <w:sz w:val="21"/>
          <w:szCs w:val="21"/>
        </w:rPr>
      </w:pPr>
      <w:r w:rsidRPr="00AF45B5">
        <w:rPr>
          <w:rFonts w:asciiTheme="minorBidi" w:hAnsiTheme="minorBidi"/>
          <w:bCs/>
          <w:sz w:val="21"/>
          <w:szCs w:val="21"/>
        </w:rPr>
        <w:t xml:space="preserve">Ed Grover (City, University of London): </w:t>
      </w:r>
      <w:hyperlink r:id="rId13" w:history="1">
        <w:r w:rsidRPr="00AF45B5">
          <w:rPr>
            <w:rStyle w:val="Hyperlink"/>
            <w:rFonts w:asciiTheme="minorBidi" w:hAnsiTheme="minorBidi"/>
            <w:bCs/>
            <w:sz w:val="21"/>
            <w:szCs w:val="21"/>
          </w:rPr>
          <w:t>ed.grover@city.ac.uk</w:t>
        </w:r>
      </w:hyperlink>
      <w:r w:rsidRPr="00AF45B5">
        <w:rPr>
          <w:rFonts w:asciiTheme="minorBidi" w:hAnsiTheme="minorBidi"/>
          <w:bCs/>
          <w:sz w:val="21"/>
          <w:szCs w:val="21"/>
        </w:rPr>
        <w:t>; 0207 040 3062, 07972 113628</w:t>
      </w:r>
    </w:p>
    <w:p w14:paraId="43CA54DA" w14:textId="77777777" w:rsidR="00AF45B5" w:rsidRPr="00AF45B5" w:rsidRDefault="00AF45B5" w:rsidP="00AF45B5">
      <w:pPr>
        <w:spacing w:after="0" w:line="240" w:lineRule="auto"/>
        <w:rPr>
          <w:rFonts w:asciiTheme="minorBidi" w:hAnsiTheme="minorBidi"/>
          <w:sz w:val="21"/>
          <w:szCs w:val="21"/>
        </w:rPr>
      </w:pPr>
    </w:p>
    <w:p w14:paraId="44261B04" w14:textId="77777777" w:rsidR="00AF45B5" w:rsidRPr="00AF45B5" w:rsidRDefault="00AF45B5" w:rsidP="00AF45B5">
      <w:pPr>
        <w:spacing w:after="0" w:line="240" w:lineRule="auto"/>
        <w:rPr>
          <w:rFonts w:asciiTheme="minorBidi" w:hAnsiTheme="minorBidi"/>
          <w:b/>
          <w:color w:val="000000"/>
          <w:sz w:val="21"/>
          <w:szCs w:val="21"/>
          <w:shd w:val="clear" w:color="auto" w:fill="FFFFFF"/>
        </w:rPr>
      </w:pPr>
      <w:r w:rsidRPr="00AF45B5">
        <w:rPr>
          <w:rFonts w:asciiTheme="minorBidi" w:hAnsiTheme="minorBidi"/>
          <w:b/>
          <w:color w:val="000000"/>
          <w:sz w:val="21"/>
          <w:szCs w:val="21"/>
          <w:shd w:val="clear" w:color="auto" w:fill="FFFFFF"/>
        </w:rPr>
        <w:t>About the authors</w:t>
      </w:r>
      <w:r w:rsidR="002028ED">
        <w:rPr>
          <w:rFonts w:asciiTheme="minorBidi" w:hAnsiTheme="minorBidi"/>
          <w:b/>
          <w:color w:val="000000"/>
          <w:sz w:val="21"/>
          <w:szCs w:val="21"/>
          <w:shd w:val="clear" w:color="auto" w:fill="FFFFFF"/>
        </w:rPr>
        <w:t xml:space="preserve"> – all contacts through press offices above, please</w:t>
      </w:r>
    </w:p>
    <w:p w14:paraId="04E750E8" w14:textId="77777777" w:rsidR="00AF45B5" w:rsidRPr="00AF45B5" w:rsidRDefault="00AF45B5" w:rsidP="00AF45B5">
      <w:pPr>
        <w:spacing w:after="0" w:line="240" w:lineRule="auto"/>
        <w:rPr>
          <w:rFonts w:asciiTheme="minorBidi" w:hAnsiTheme="minorBidi"/>
          <w:b/>
          <w:sz w:val="21"/>
          <w:szCs w:val="21"/>
        </w:rPr>
      </w:pPr>
    </w:p>
    <w:p w14:paraId="39178FB3" w14:textId="77777777" w:rsidR="00AF45B5" w:rsidRPr="00AF45B5" w:rsidRDefault="00AF45B5" w:rsidP="00AF45B5">
      <w:pPr>
        <w:spacing w:after="0" w:line="240" w:lineRule="auto"/>
        <w:rPr>
          <w:rFonts w:asciiTheme="minorBidi" w:hAnsiTheme="minorBidi"/>
          <w:sz w:val="21"/>
          <w:szCs w:val="21"/>
        </w:rPr>
      </w:pPr>
      <w:r w:rsidRPr="00AF45B5">
        <w:rPr>
          <w:rFonts w:asciiTheme="minorBidi" w:hAnsiTheme="minorBidi"/>
          <w:b/>
          <w:sz w:val="21"/>
          <w:szCs w:val="21"/>
        </w:rPr>
        <w:t>Erik Millstone</w:t>
      </w:r>
      <w:r w:rsidRPr="00AF45B5">
        <w:rPr>
          <w:rFonts w:asciiTheme="minorBidi" w:hAnsiTheme="minorBidi"/>
          <w:sz w:val="21"/>
          <w:szCs w:val="21"/>
        </w:rPr>
        <w:t xml:space="preserve"> is Professor Emeritus of Science Policy at the Science Policy Research Unit (SPRU). </w:t>
      </w:r>
      <w:hyperlink r:id="rId14" w:history="1">
        <w:r w:rsidRPr="00AF45B5">
          <w:rPr>
            <w:rFonts w:asciiTheme="minorBidi" w:hAnsiTheme="minorBidi"/>
            <w:sz w:val="21"/>
            <w:szCs w:val="21"/>
          </w:rPr>
          <w:t>SPRU</w:t>
        </w:r>
      </w:hyperlink>
      <w:r w:rsidRPr="00AF45B5">
        <w:rPr>
          <w:rFonts w:asciiTheme="minorBidi" w:hAnsiTheme="minorBidi"/>
          <w:sz w:val="21"/>
          <w:szCs w:val="21"/>
        </w:rPr>
        <w:t xml:space="preserve"> is internationally recognised as a leading centre of research on science, technology and innovation policy at the University of Sussex. </w:t>
      </w:r>
    </w:p>
    <w:p w14:paraId="57F0A170" w14:textId="77777777" w:rsidR="00AF45B5" w:rsidRPr="00AF45B5" w:rsidRDefault="00AF45B5" w:rsidP="00AF45B5">
      <w:pPr>
        <w:spacing w:after="0" w:line="240" w:lineRule="auto"/>
        <w:rPr>
          <w:rFonts w:asciiTheme="minorBidi" w:hAnsiTheme="minorBidi"/>
          <w:sz w:val="21"/>
          <w:szCs w:val="21"/>
        </w:rPr>
      </w:pPr>
      <w:r w:rsidRPr="00AF45B5">
        <w:rPr>
          <w:rFonts w:asciiTheme="minorBidi" w:hAnsiTheme="minorBidi"/>
          <w:sz w:val="21"/>
          <w:szCs w:val="21"/>
        </w:rPr>
        <w:t xml:space="preserve">Contact details: </w:t>
      </w:r>
      <w:hyperlink r:id="rId15" w:history="1">
        <w:r w:rsidR="00EB15FB" w:rsidRPr="00136E86">
          <w:rPr>
            <w:rStyle w:val="Hyperlink"/>
            <w:rFonts w:asciiTheme="minorBidi" w:hAnsiTheme="minorBidi"/>
            <w:sz w:val="21"/>
            <w:szCs w:val="21"/>
          </w:rPr>
          <w:t>e.p.millstone@sussex.ac.uk</w:t>
        </w:r>
      </w:hyperlink>
      <w:r w:rsidR="00EB15FB">
        <w:rPr>
          <w:rFonts w:asciiTheme="minorBidi" w:hAnsiTheme="minorBidi"/>
          <w:sz w:val="21"/>
          <w:szCs w:val="21"/>
        </w:rPr>
        <w:t xml:space="preserve"> </w:t>
      </w:r>
      <w:r w:rsidR="003336AC">
        <w:rPr>
          <w:rFonts w:asciiTheme="minorBidi" w:eastAsia="Times New Roman" w:hAnsiTheme="minorBidi"/>
          <w:sz w:val="21"/>
          <w:szCs w:val="21"/>
        </w:rPr>
        <w:t xml:space="preserve"> </w:t>
      </w:r>
    </w:p>
    <w:p w14:paraId="456E369B" w14:textId="77777777" w:rsidR="00AF45B5" w:rsidRPr="00AF45B5" w:rsidRDefault="00AF45B5" w:rsidP="00AF45B5">
      <w:pPr>
        <w:spacing w:after="0" w:line="240" w:lineRule="auto"/>
        <w:rPr>
          <w:rFonts w:asciiTheme="minorBidi" w:hAnsiTheme="minorBidi"/>
          <w:b/>
          <w:bCs/>
          <w:sz w:val="21"/>
          <w:szCs w:val="21"/>
        </w:rPr>
      </w:pPr>
    </w:p>
    <w:p w14:paraId="3031A7E2" w14:textId="77777777" w:rsidR="00AF45B5" w:rsidRPr="00AF45B5" w:rsidRDefault="00AF45B5" w:rsidP="00AF45B5">
      <w:pPr>
        <w:spacing w:after="0" w:line="240" w:lineRule="auto"/>
        <w:rPr>
          <w:rFonts w:asciiTheme="minorBidi" w:hAnsiTheme="minorBidi"/>
          <w:b/>
          <w:sz w:val="21"/>
          <w:szCs w:val="21"/>
        </w:rPr>
      </w:pPr>
      <w:r w:rsidRPr="00AF45B5">
        <w:rPr>
          <w:rFonts w:asciiTheme="minorBidi" w:hAnsiTheme="minorBidi"/>
          <w:b/>
          <w:bCs/>
          <w:sz w:val="21"/>
          <w:szCs w:val="21"/>
        </w:rPr>
        <w:t>Tim Lang</w:t>
      </w:r>
      <w:r w:rsidRPr="00AF45B5">
        <w:rPr>
          <w:rFonts w:asciiTheme="minorBidi" w:hAnsiTheme="minorBidi"/>
          <w:sz w:val="21"/>
          <w:szCs w:val="21"/>
        </w:rPr>
        <w:t> is Professor of Food Policy, at the Centre for Food Policy, City, University of London. The Centre for Food Policy advances an integrated and inclusive approach to food policy through education, research and engagement with the world of food policy.</w:t>
      </w:r>
      <w:r w:rsidRPr="00AF45B5">
        <w:rPr>
          <w:rFonts w:asciiTheme="minorBidi" w:hAnsiTheme="minorBidi"/>
          <w:b/>
          <w:bCs/>
          <w:color w:val="1F497D"/>
          <w:sz w:val="21"/>
          <w:szCs w:val="21"/>
        </w:rPr>
        <w:t xml:space="preserve"> </w:t>
      </w:r>
      <w:r w:rsidRPr="00AF45B5">
        <w:rPr>
          <w:rFonts w:asciiTheme="minorBidi" w:hAnsiTheme="minorBidi"/>
          <w:sz w:val="21"/>
          <w:szCs w:val="21"/>
        </w:rPr>
        <w:t>Email: </w:t>
      </w:r>
      <w:hyperlink r:id="rId16" w:history="1">
        <w:r w:rsidRPr="00AF45B5">
          <w:rPr>
            <w:rStyle w:val="Hyperlink"/>
            <w:rFonts w:asciiTheme="minorBidi" w:hAnsiTheme="minorBidi"/>
            <w:sz w:val="21"/>
            <w:szCs w:val="21"/>
          </w:rPr>
          <w:t>t.lang@city.ac.uk</w:t>
        </w:r>
      </w:hyperlink>
      <w:r w:rsidRPr="00AF45B5">
        <w:rPr>
          <w:rFonts w:asciiTheme="minorBidi" w:hAnsiTheme="minorBidi"/>
          <w:sz w:val="21"/>
          <w:szCs w:val="21"/>
        </w:rPr>
        <w:t xml:space="preserve">  </w:t>
      </w:r>
    </w:p>
    <w:p w14:paraId="7C025F31" w14:textId="77777777" w:rsidR="00FB23B9" w:rsidRDefault="00FB23B9" w:rsidP="00AF45B5">
      <w:pPr>
        <w:spacing w:after="0" w:line="240" w:lineRule="auto"/>
        <w:rPr>
          <w:rFonts w:asciiTheme="minorBidi" w:hAnsiTheme="minorBidi"/>
          <w:b/>
          <w:sz w:val="21"/>
          <w:szCs w:val="21"/>
        </w:rPr>
      </w:pPr>
    </w:p>
    <w:p w14:paraId="020ACFB1" w14:textId="77777777" w:rsidR="00AF45B5" w:rsidRPr="00AF45B5" w:rsidRDefault="00AF45B5" w:rsidP="00AF45B5">
      <w:pPr>
        <w:spacing w:after="0" w:line="240" w:lineRule="auto"/>
        <w:rPr>
          <w:rFonts w:asciiTheme="minorBidi" w:hAnsiTheme="minorBidi"/>
          <w:b/>
          <w:bCs/>
          <w:color w:val="FF0000"/>
          <w:sz w:val="21"/>
          <w:szCs w:val="21"/>
        </w:rPr>
      </w:pPr>
      <w:r w:rsidRPr="00AF45B5">
        <w:rPr>
          <w:rFonts w:asciiTheme="minorBidi" w:hAnsiTheme="minorBidi"/>
          <w:b/>
          <w:sz w:val="21"/>
          <w:szCs w:val="21"/>
        </w:rPr>
        <w:t xml:space="preserve">The Food Research Collaboration </w:t>
      </w:r>
      <w:r w:rsidRPr="00AF45B5">
        <w:rPr>
          <w:rFonts w:asciiTheme="minorBidi" w:hAnsiTheme="minorBidi"/>
          <w:sz w:val="21"/>
          <w:szCs w:val="21"/>
        </w:rPr>
        <w:t>is a UK initiative started in 2014 to bring together academics and civil society organisations to improve the production, sharing and use of the evidence-based knowledge needed to influence and improve UK food policy.</w:t>
      </w:r>
      <w:r w:rsidR="001824DD">
        <w:rPr>
          <w:rFonts w:asciiTheme="minorBidi" w:hAnsiTheme="minorBidi"/>
          <w:sz w:val="21"/>
          <w:szCs w:val="21"/>
        </w:rPr>
        <w:t xml:space="preserve"> It is based at the Centre for Food Policy at City, University of London.</w:t>
      </w:r>
    </w:p>
    <w:p w14:paraId="73CE7A8F" w14:textId="77777777" w:rsidR="004A2AC8" w:rsidRPr="00AF45B5" w:rsidRDefault="004A2AC8" w:rsidP="00AF45B5">
      <w:pPr>
        <w:spacing w:line="360" w:lineRule="auto"/>
        <w:contextualSpacing/>
        <w:jc w:val="center"/>
        <w:rPr>
          <w:rFonts w:asciiTheme="minorBidi" w:hAnsiTheme="minorBidi"/>
          <w:b/>
          <w:bCs/>
          <w:sz w:val="21"/>
          <w:szCs w:val="21"/>
        </w:rPr>
      </w:pPr>
    </w:p>
    <w:sectPr w:rsidR="004A2AC8" w:rsidRPr="00AF45B5">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F8F37" w14:textId="77777777" w:rsidR="00591C83" w:rsidRDefault="00591C83" w:rsidP="00B07E4A">
      <w:pPr>
        <w:spacing w:after="0" w:line="240" w:lineRule="auto"/>
      </w:pPr>
      <w:r>
        <w:separator/>
      </w:r>
    </w:p>
  </w:endnote>
  <w:endnote w:type="continuationSeparator" w:id="0">
    <w:p w14:paraId="733722CB" w14:textId="77777777" w:rsidR="00591C83" w:rsidRDefault="00591C83" w:rsidP="00B07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2A8BA" w14:textId="77777777" w:rsidR="00FA4DC0" w:rsidRPr="00697903" w:rsidRDefault="00FA4DC0" w:rsidP="00B07E4A">
    <w:pPr>
      <w:tabs>
        <w:tab w:val="left" w:pos="6379"/>
      </w:tabs>
      <w:spacing w:before="42" w:line="240" w:lineRule="auto"/>
      <w:ind w:right="-27"/>
      <w:jc w:val="center"/>
      <w:rPr>
        <w:rFonts w:ascii="Arial" w:eastAsia="Franklin Gothic Medium" w:hAnsi="Arial" w:cs="Arial"/>
        <w:b/>
        <w:sz w:val="20"/>
        <w:szCs w:val="20"/>
      </w:rPr>
    </w:pPr>
    <w:r w:rsidRPr="00697903">
      <w:rPr>
        <w:rFonts w:ascii="Arial" w:eastAsia="Franklin Gothic Medium" w:hAnsi="Arial" w:cs="Arial"/>
        <w:b/>
        <w:color w:val="003E44"/>
        <w:spacing w:val="19"/>
        <w:sz w:val="20"/>
        <w:szCs w:val="20"/>
      </w:rPr>
      <w:t>MEDIA RELATIONS</w:t>
    </w:r>
  </w:p>
  <w:p w14:paraId="2CFFBC8A" w14:textId="77777777" w:rsidR="00FA4DC0" w:rsidRPr="00697903" w:rsidRDefault="00FA4DC0" w:rsidP="00B07E4A">
    <w:pPr>
      <w:spacing w:before="18" w:line="240" w:lineRule="auto"/>
      <w:ind w:right="-27"/>
      <w:jc w:val="center"/>
      <w:rPr>
        <w:rFonts w:ascii="Arial" w:eastAsia="Franklin Gothic Book" w:hAnsi="Arial" w:cs="Arial"/>
        <w:sz w:val="20"/>
        <w:szCs w:val="20"/>
      </w:rPr>
    </w:pPr>
    <w:r w:rsidRPr="00697903">
      <w:rPr>
        <w:rFonts w:ascii="Arial" w:eastAsia="Franklin Gothic Book" w:hAnsi="Arial" w:cs="Arial"/>
        <w:color w:val="003E44"/>
        <w:spacing w:val="2"/>
        <w:sz w:val="20"/>
        <w:szCs w:val="20"/>
      </w:rPr>
      <w:t xml:space="preserve">Communications and External Affairs </w:t>
    </w:r>
    <w:r w:rsidRPr="00697903">
      <w:rPr>
        <w:rFonts w:ascii="Arial" w:eastAsia="Franklin Gothic Book" w:hAnsi="Arial" w:cs="Arial"/>
        <w:color w:val="003E44"/>
        <w:w w:val="52"/>
        <w:sz w:val="20"/>
        <w:szCs w:val="20"/>
      </w:rPr>
      <w:t xml:space="preserve">| </w:t>
    </w:r>
    <w:r w:rsidRPr="00697903">
      <w:rPr>
        <w:rFonts w:ascii="Arial" w:eastAsia="Franklin Gothic Book" w:hAnsi="Arial" w:cs="Arial"/>
        <w:color w:val="003E44"/>
        <w:spacing w:val="2"/>
        <w:sz w:val="20"/>
        <w:szCs w:val="20"/>
      </w:rPr>
      <w:t xml:space="preserve">University of Sussex </w:t>
    </w:r>
    <w:proofErr w:type="gramStart"/>
    <w:r w:rsidRPr="00697903">
      <w:rPr>
        <w:rFonts w:ascii="Arial" w:eastAsia="Franklin Gothic Book" w:hAnsi="Arial" w:cs="Arial"/>
        <w:color w:val="003E44"/>
        <w:w w:val="52"/>
        <w:sz w:val="20"/>
        <w:szCs w:val="20"/>
      </w:rPr>
      <w:t xml:space="preserve">| </w:t>
    </w:r>
    <w:r w:rsidRPr="00697903">
      <w:rPr>
        <w:rFonts w:ascii="Arial" w:eastAsia="Franklin Gothic Book" w:hAnsi="Arial" w:cs="Arial"/>
        <w:color w:val="003E44"/>
        <w:spacing w:val="6"/>
        <w:w w:val="52"/>
        <w:sz w:val="20"/>
        <w:szCs w:val="20"/>
      </w:rPr>
      <w:t xml:space="preserve"> </w:t>
    </w:r>
    <w:r w:rsidRPr="00697903">
      <w:rPr>
        <w:rFonts w:ascii="Arial" w:eastAsia="Franklin Gothic Book" w:hAnsi="Arial" w:cs="Arial"/>
        <w:color w:val="003E44"/>
        <w:spacing w:val="2"/>
        <w:sz w:val="20"/>
        <w:szCs w:val="20"/>
      </w:rPr>
      <w:t>Sussex</w:t>
    </w:r>
    <w:proofErr w:type="gramEnd"/>
    <w:r w:rsidRPr="00697903">
      <w:rPr>
        <w:rFonts w:ascii="Arial" w:eastAsia="Franklin Gothic Book" w:hAnsi="Arial" w:cs="Arial"/>
        <w:color w:val="003E44"/>
        <w:spacing w:val="2"/>
        <w:sz w:val="20"/>
        <w:szCs w:val="20"/>
      </w:rPr>
      <w:t xml:space="preserve"> House </w:t>
    </w:r>
    <w:r w:rsidRPr="00697903">
      <w:rPr>
        <w:rFonts w:ascii="Arial" w:eastAsia="Franklin Gothic Book" w:hAnsi="Arial" w:cs="Arial"/>
        <w:color w:val="003E44"/>
        <w:w w:val="52"/>
        <w:sz w:val="20"/>
        <w:szCs w:val="20"/>
      </w:rPr>
      <w:t xml:space="preserve">| </w:t>
    </w:r>
    <w:r w:rsidRPr="00697903">
      <w:rPr>
        <w:rFonts w:ascii="Arial" w:eastAsia="Franklin Gothic Book" w:hAnsi="Arial" w:cs="Arial"/>
        <w:color w:val="003E44"/>
        <w:spacing w:val="6"/>
        <w:w w:val="52"/>
        <w:sz w:val="20"/>
        <w:szCs w:val="20"/>
      </w:rPr>
      <w:t xml:space="preserve"> </w:t>
    </w:r>
    <w:r w:rsidRPr="00697903">
      <w:rPr>
        <w:rFonts w:ascii="Arial" w:eastAsia="Franklin Gothic Book" w:hAnsi="Arial" w:cs="Arial"/>
        <w:color w:val="003E44"/>
        <w:spacing w:val="3"/>
        <w:sz w:val="20"/>
        <w:szCs w:val="20"/>
      </w:rPr>
      <w:t>Br</w:t>
    </w:r>
    <w:r w:rsidRPr="00697903">
      <w:rPr>
        <w:rFonts w:ascii="Arial" w:eastAsia="Franklin Gothic Book" w:hAnsi="Arial" w:cs="Arial"/>
        <w:color w:val="003E44"/>
        <w:spacing w:val="2"/>
        <w:sz w:val="20"/>
        <w:szCs w:val="20"/>
      </w:rPr>
      <w:t>i</w:t>
    </w:r>
    <w:r w:rsidRPr="00697903">
      <w:rPr>
        <w:rFonts w:ascii="Arial" w:eastAsia="Franklin Gothic Book" w:hAnsi="Arial" w:cs="Arial"/>
        <w:color w:val="003E44"/>
        <w:spacing w:val="3"/>
        <w:sz w:val="20"/>
        <w:szCs w:val="20"/>
      </w:rPr>
      <w:t>g</w:t>
    </w:r>
    <w:r w:rsidRPr="00697903">
      <w:rPr>
        <w:rFonts w:ascii="Arial" w:eastAsia="Franklin Gothic Book" w:hAnsi="Arial" w:cs="Arial"/>
        <w:color w:val="003E44"/>
        <w:spacing w:val="2"/>
        <w:sz w:val="20"/>
        <w:szCs w:val="20"/>
      </w:rPr>
      <w:t>h</w:t>
    </w:r>
    <w:r w:rsidRPr="00697903">
      <w:rPr>
        <w:rFonts w:ascii="Arial" w:eastAsia="Franklin Gothic Book" w:hAnsi="Arial" w:cs="Arial"/>
        <w:color w:val="003E44"/>
        <w:spacing w:val="1"/>
        <w:sz w:val="20"/>
        <w:szCs w:val="20"/>
      </w:rPr>
      <w:t>t</w:t>
    </w:r>
    <w:r w:rsidRPr="00697903">
      <w:rPr>
        <w:rFonts w:ascii="Arial" w:eastAsia="Franklin Gothic Book" w:hAnsi="Arial" w:cs="Arial"/>
        <w:color w:val="003E44"/>
        <w:spacing w:val="2"/>
        <w:sz w:val="20"/>
        <w:szCs w:val="20"/>
      </w:rPr>
      <w:t>o</w:t>
    </w:r>
    <w:r w:rsidRPr="00697903">
      <w:rPr>
        <w:rFonts w:ascii="Arial" w:eastAsia="Franklin Gothic Book" w:hAnsi="Arial" w:cs="Arial"/>
        <w:color w:val="003E44"/>
        <w:sz w:val="20"/>
        <w:szCs w:val="20"/>
      </w:rPr>
      <w:t>n</w:t>
    </w:r>
    <w:r w:rsidRPr="00697903">
      <w:rPr>
        <w:rFonts w:ascii="Arial" w:eastAsia="Franklin Gothic Book" w:hAnsi="Arial" w:cs="Arial"/>
        <w:color w:val="003E44"/>
        <w:spacing w:val="15"/>
        <w:sz w:val="20"/>
        <w:szCs w:val="20"/>
      </w:rPr>
      <w:t xml:space="preserve"> </w:t>
    </w:r>
    <w:r w:rsidRPr="00697903">
      <w:rPr>
        <w:rFonts w:ascii="Arial" w:eastAsia="Franklin Gothic Book" w:hAnsi="Arial" w:cs="Arial"/>
        <w:color w:val="003E44"/>
        <w:spacing w:val="3"/>
        <w:sz w:val="20"/>
        <w:szCs w:val="20"/>
      </w:rPr>
      <w:t>B</w:t>
    </w:r>
    <w:r w:rsidRPr="00697903">
      <w:rPr>
        <w:rFonts w:ascii="Arial" w:eastAsia="Franklin Gothic Book" w:hAnsi="Arial" w:cs="Arial"/>
        <w:color w:val="003E44"/>
        <w:spacing w:val="4"/>
        <w:sz w:val="20"/>
        <w:szCs w:val="20"/>
      </w:rPr>
      <w:t>N</w:t>
    </w:r>
    <w:r w:rsidRPr="00697903">
      <w:rPr>
        <w:rFonts w:ascii="Arial" w:eastAsia="Franklin Gothic Book" w:hAnsi="Arial" w:cs="Arial"/>
        <w:color w:val="003E44"/>
        <w:sz w:val="20"/>
        <w:szCs w:val="20"/>
      </w:rPr>
      <w:t>1 9RH</w:t>
    </w:r>
    <w:r w:rsidRPr="00697903">
      <w:rPr>
        <w:rFonts w:ascii="Arial" w:eastAsia="Franklin Gothic Book" w:hAnsi="Arial" w:cs="Arial"/>
        <w:color w:val="003E44"/>
        <w:spacing w:val="15"/>
        <w:sz w:val="20"/>
        <w:szCs w:val="20"/>
      </w:rPr>
      <w:t xml:space="preserve"> </w:t>
    </w:r>
    <w:r w:rsidRPr="00697903">
      <w:rPr>
        <w:rFonts w:ascii="Arial" w:eastAsia="Franklin Gothic Book" w:hAnsi="Arial" w:cs="Arial"/>
        <w:color w:val="003E44"/>
        <w:w w:val="52"/>
        <w:sz w:val="20"/>
        <w:szCs w:val="20"/>
      </w:rPr>
      <w:t xml:space="preserve">| </w:t>
    </w:r>
    <w:r w:rsidRPr="00697903">
      <w:rPr>
        <w:rFonts w:ascii="Arial" w:eastAsia="Franklin Gothic Book" w:hAnsi="Arial" w:cs="Arial"/>
        <w:color w:val="003E44"/>
        <w:spacing w:val="6"/>
        <w:w w:val="52"/>
        <w:sz w:val="20"/>
        <w:szCs w:val="20"/>
      </w:rPr>
      <w:t xml:space="preserve"> </w:t>
    </w:r>
    <w:r w:rsidRPr="00697903">
      <w:rPr>
        <w:rFonts w:ascii="Arial" w:eastAsia="Franklin Gothic Book" w:hAnsi="Arial" w:cs="Arial"/>
        <w:color w:val="003E44"/>
        <w:spacing w:val="2"/>
        <w:sz w:val="20"/>
        <w:szCs w:val="20"/>
      </w:rPr>
      <w:t xml:space="preserve">United Kingdom </w:t>
    </w:r>
  </w:p>
  <w:p w14:paraId="69F0D338" w14:textId="77777777" w:rsidR="00FA4DC0" w:rsidRPr="00B07E4A" w:rsidRDefault="00FA4DC0" w:rsidP="00B07E4A">
    <w:pPr>
      <w:spacing w:before="18" w:line="264" w:lineRule="auto"/>
      <w:ind w:right="-27"/>
      <w:jc w:val="center"/>
      <w:rPr>
        <w:rFonts w:ascii="Arial" w:eastAsia="Franklin Gothic Book" w:hAnsi="Arial" w:cs="Arial"/>
        <w:color w:val="003E44"/>
        <w:spacing w:val="2"/>
        <w:w w:val="107"/>
        <w:sz w:val="20"/>
        <w:szCs w:val="20"/>
        <w:lang w:val="fr-FR"/>
      </w:rPr>
    </w:pPr>
    <w:r w:rsidRPr="00697903">
      <w:rPr>
        <w:rFonts w:ascii="Arial" w:eastAsia="Franklin Gothic Book" w:hAnsi="Arial" w:cs="Arial"/>
        <w:color w:val="003E44"/>
        <w:sz w:val="20"/>
        <w:szCs w:val="20"/>
        <w:lang w:val="fr-FR"/>
      </w:rPr>
      <w:t>T</w:t>
    </w:r>
    <w:r w:rsidRPr="00697903">
      <w:rPr>
        <w:rFonts w:ascii="Arial" w:eastAsia="Franklin Gothic Book" w:hAnsi="Arial" w:cs="Arial"/>
        <w:color w:val="003E44"/>
        <w:spacing w:val="10"/>
        <w:sz w:val="20"/>
        <w:szCs w:val="20"/>
        <w:lang w:val="fr-FR"/>
      </w:rPr>
      <w:t xml:space="preserve"> </w:t>
    </w:r>
    <w:r w:rsidRPr="00697903">
      <w:rPr>
        <w:rFonts w:ascii="Arial" w:eastAsia="Franklin Gothic Book" w:hAnsi="Arial" w:cs="Arial"/>
        <w:color w:val="003E44"/>
        <w:spacing w:val="3"/>
        <w:sz w:val="20"/>
        <w:szCs w:val="20"/>
        <w:lang w:val="fr-FR"/>
      </w:rPr>
      <w:t>+</w:t>
    </w:r>
    <w:r w:rsidRPr="00697903">
      <w:rPr>
        <w:rFonts w:ascii="Arial" w:eastAsia="Franklin Gothic Book" w:hAnsi="Arial" w:cs="Arial"/>
        <w:color w:val="003E44"/>
        <w:spacing w:val="5"/>
        <w:sz w:val="20"/>
        <w:szCs w:val="20"/>
        <w:lang w:val="fr-FR"/>
      </w:rPr>
      <w:t>4</w:t>
    </w:r>
    <w:r w:rsidRPr="00697903">
      <w:rPr>
        <w:rFonts w:ascii="Arial" w:eastAsia="Franklin Gothic Book" w:hAnsi="Arial" w:cs="Arial"/>
        <w:color w:val="003E44"/>
        <w:sz w:val="20"/>
        <w:szCs w:val="20"/>
        <w:lang w:val="fr-FR"/>
      </w:rPr>
      <w:t>4</w:t>
    </w:r>
    <w:r w:rsidRPr="00697903">
      <w:rPr>
        <w:rFonts w:ascii="Arial" w:eastAsia="Franklin Gothic Book" w:hAnsi="Arial" w:cs="Arial"/>
        <w:color w:val="003E44"/>
        <w:spacing w:val="14"/>
        <w:sz w:val="20"/>
        <w:szCs w:val="20"/>
        <w:lang w:val="fr-FR"/>
      </w:rPr>
      <w:t xml:space="preserve"> </w:t>
    </w:r>
    <w:r w:rsidRPr="00697903">
      <w:rPr>
        <w:rFonts w:ascii="Arial" w:eastAsia="Franklin Gothic Book" w:hAnsi="Arial" w:cs="Arial"/>
        <w:color w:val="003E44"/>
        <w:spacing w:val="-2"/>
        <w:sz w:val="20"/>
        <w:szCs w:val="20"/>
        <w:lang w:val="fr-FR"/>
      </w:rPr>
      <w:t>(0</w:t>
    </w:r>
    <w:r w:rsidRPr="00697903">
      <w:rPr>
        <w:rFonts w:ascii="Arial" w:eastAsia="Franklin Gothic Book" w:hAnsi="Arial" w:cs="Arial"/>
        <w:color w:val="003E44"/>
        <w:spacing w:val="-1"/>
        <w:sz w:val="20"/>
        <w:szCs w:val="20"/>
        <w:lang w:val="fr-FR"/>
      </w:rPr>
      <w:t>)</w:t>
    </w:r>
    <w:r w:rsidRPr="00697903">
      <w:rPr>
        <w:rFonts w:ascii="Arial" w:eastAsia="Franklin Gothic Book" w:hAnsi="Arial" w:cs="Arial"/>
        <w:color w:val="003E44"/>
        <w:spacing w:val="2"/>
        <w:sz w:val="20"/>
        <w:szCs w:val="20"/>
        <w:lang w:val="fr-FR"/>
      </w:rPr>
      <w:t>1</w:t>
    </w:r>
    <w:r w:rsidRPr="00697903">
      <w:rPr>
        <w:rFonts w:ascii="Arial" w:eastAsia="Franklin Gothic Book" w:hAnsi="Arial" w:cs="Arial"/>
        <w:color w:val="003E44"/>
        <w:spacing w:val="-2"/>
        <w:sz w:val="20"/>
        <w:szCs w:val="20"/>
        <w:lang w:val="fr-FR"/>
      </w:rPr>
      <w:t>2</w:t>
    </w:r>
    <w:r w:rsidRPr="00697903">
      <w:rPr>
        <w:rFonts w:ascii="Arial" w:eastAsia="Franklin Gothic Book" w:hAnsi="Arial" w:cs="Arial"/>
        <w:color w:val="003E44"/>
        <w:spacing w:val="-3"/>
        <w:sz w:val="20"/>
        <w:szCs w:val="20"/>
        <w:lang w:val="fr-FR"/>
      </w:rPr>
      <w:t>7</w:t>
    </w:r>
    <w:r w:rsidRPr="00697903">
      <w:rPr>
        <w:rFonts w:ascii="Arial" w:eastAsia="Franklin Gothic Book" w:hAnsi="Arial" w:cs="Arial"/>
        <w:color w:val="003E44"/>
        <w:sz w:val="20"/>
        <w:szCs w:val="20"/>
        <w:lang w:val="fr-FR"/>
      </w:rPr>
      <w:t>3</w:t>
    </w:r>
    <w:r w:rsidRPr="00697903">
      <w:rPr>
        <w:rFonts w:ascii="Arial" w:eastAsia="Franklin Gothic Book" w:hAnsi="Arial" w:cs="Arial"/>
        <w:color w:val="003E44"/>
        <w:spacing w:val="19"/>
        <w:sz w:val="20"/>
        <w:szCs w:val="20"/>
        <w:lang w:val="fr-FR"/>
      </w:rPr>
      <w:t xml:space="preserve"> </w:t>
    </w:r>
    <w:r w:rsidRPr="00697903">
      <w:rPr>
        <w:rFonts w:ascii="Arial" w:eastAsia="Franklin Gothic Book" w:hAnsi="Arial" w:cs="Arial"/>
        <w:color w:val="003E44"/>
        <w:spacing w:val="9"/>
        <w:sz w:val="20"/>
        <w:szCs w:val="20"/>
        <w:lang w:val="fr-FR"/>
      </w:rPr>
      <w:t>678888</w:t>
    </w:r>
    <w:r w:rsidRPr="00697903">
      <w:rPr>
        <w:rFonts w:ascii="Arial" w:eastAsia="Franklin Gothic Book" w:hAnsi="Arial" w:cs="Arial"/>
        <w:color w:val="003E44"/>
        <w:spacing w:val="23"/>
        <w:sz w:val="20"/>
        <w:szCs w:val="20"/>
        <w:lang w:val="fr-FR"/>
      </w:rPr>
      <w:t xml:space="preserve"> </w:t>
    </w:r>
    <w:proofErr w:type="gramStart"/>
    <w:r w:rsidRPr="00697903">
      <w:rPr>
        <w:rFonts w:ascii="Arial" w:eastAsia="Franklin Gothic Book" w:hAnsi="Arial" w:cs="Arial"/>
        <w:color w:val="003E44"/>
        <w:w w:val="52"/>
        <w:sz w:val="20"/>
        <w:szCs w:val="20"/>
        <w:lang w:val="fr-FR"/>
      </w:rPr>
      <w:t xml:space="preserve">| </w:t>
    </w:r>
    <w:r w:rsidRPr="00697903">
      <w:rPr>
        <w:rFonts w:ascii="Arial" w:eastAsia="Franklin Gothic Book" w:hAnsi="Arial" w:cs="Arial"/>
        <w:color w:val="003E44"/>
        <w:spacing w:val="6"/>
        <w:w w:val="52"/>
        <w:sz w:val="20"/>
        <w:szCs w:val="20"/>
        <w:lang w:val="fr-FR"/>
      </w:rPr>
      <w:t xml:space="preserve"> </w:t>
    </w:r>
    <w:r w:rsidRPr="00697903">
      <w:rPr>
        <w:rFonts w:ascii="Arial" w:eastAsia="Franklin Gothic Book" w:hAnsi="Arial" w:cs="Arial"/>
        <w:color w:val="003E44"/>
        <w:spacing w:val="2"/>
        <w:w w:val="103"/>
        <w:sz w:val="20"/>
        <w:szCs w:val="20"/>
        <w:lang w:val="fr-FR"/>
      </w:rPr>
      <w:t>press</w:t>
    </w:r>
    <w:r w:rsidRPr="00697903">
      <w:rPr>
        <w:rFonts w:ascii="Arial" w:eastAsia="Franklin Gothic Book" w:hAnsi="Arial" w:cs="Arial"/>
        <w:color w:val="003E44"/>
        <w:spacing w:val="2"/>
        <w:w w:val="107"/>
        <w:sz w:val="20"/>
        <w:szCs w:val="20"/>
        <w:lang w:val="fr-FR"/>
      </w:rPr>
      <w:t>@</w:t>
    </w:r>
    <w:r w:rsidRPr="00697903">
      <w:rPr>
        <w:rFonts w:ascii="Arial" w:eastAsia="Franklin Gothic Book" w:hAnsi="Arial" w:cs="Arial"/>
        <w:color w:val="003E44"/>
        <w:spacing w:val="1"/>
        <w:w w:val="112"/>
        <w:sz w:val="20"/>
        <w:szCs w:val="20"/>
        <w:lang w:val="fr-FR"/>
      </w:rPr>
      <w:t>s</w:t>
    </w:r>
    <w:r w:rsidRPr="00697903">
      <w:rPr>
        <w:rFonts w:ascii="Arial" w:eastAsia="Franklin Gothic Book" w:hAnsi="Arial" w:cs="Arial"/>
        <w:color w:val="003E44"/>
        <w:spacing w:val="2"/>
        <w:w w:val="99"/>
        <w:sz w:val="20"/>
        <w:szCs w:val="20"/>
        <w:lang w:val="fr-FR"/>
      </w:rPr>
      <w:t>u</w:t>
    </w:r>
    <w:r w:rsidRPr="00697903">
      <w:rPr>
        <w:rFonts w:ascii="Arial" w:eastAsia="Franklin Gothic Book" w:hAnsi="Arial" w:cs="Arial"/>
        <w:color w:val="003E44"/>
        <w:spacing w:val="3"/>
        <w:w w:val="112"/>
        <w:sz w:val="20"/>
        <w:szCs w:val="20"/>
        <w:lang w:val="fr-FR"/>
      </w:rPr>
      <w:t>s</w:t>
    </w:r>
    <w:r w:rsidRPr="00697903">
      <w:rPr>
        <w:rFonts w:ascii="Arial" w:eastAsia="Franklin Gothic Book" w:hAnsi="Arial" w:cs="Arial"/>
        <w:color w:val="003E44"/>
        <w:spacing w:val="2"/>
        <w:w w:val="112"/>
        <w:sz w:val="20"/>
        <w:szCs w:val="20"/>
        <w:lang w:val="fr-FR"/>
      </w:rPr>
      <w:t>s</w:t>
    </w:r>
    <w:r w:rsidRPr="00697903">
      <w:rPr>
        <w:rFonts w:ascii="Arial" w:eastAsia="Franklin Gothic Book" w:hAnsi="Arial" w:cs="Arial"/>
        <w:color w:val="003E44"/>
        <w:w w:val="103"/>
        <w:sz w:val="20"/>
        <w:szCs w:val="20"/>
        <w:lang w:val="fr-FR"/>
      </w:rPr>
      <w:t>e</w:t>
    </w:r>
    <w:r w:rsidRPr="00697903">
      <w:rPr>
        <w:rFonts w:ascii="Arial" w:eastAsia="Franklin Gothic Book" w:hAnsi="Arial" w:cs="Arial"/>
        <w:color w:val="003E44"/>
        <w:spacing w:val="3"/>
        <w:w w:val="104"/>
        <w:sz w:val="20"/>
        <w:szCs w:val="20"/>
        <w:lang w:val="fr-FR"/>
      </w:rPr>
      <w:t>x</w:t>
    </w:r>
    <w:r w:rsidRPr="00697903">
      <w:rPr>
        <w:rFonts w:ascii="Arial" w:eastAsia="Franklin Gothic Book" w:hAnsi="Arial" w:cs="Arial"/>
        <w:color w:val="003E44"/>
        <w:spacing w:val="1"/>
        <w:w w:val="120"/>
        <w:sz w:val="20"/>
        <w:szCs w:val="20"/>
        <w:lang w:val="fr-FR"/>
      </w:rPr>
      <w:t>.</w:t>
    </w:r>
    <w:r w:rsidRPr="00697903">
      <w:rPr>
        <w:rFonts w:ascii="Arial" w:eastAsia="Franklin Gothic Book" w:hAnsi="Arial" w:cs="Arial"/>
        <w:color w:val="003E44"/>
        <w:spacing w:val="4"/>
        <w:w w:val="102"/>
        <w:sz w:val="20"/>
        <w:szCs w:val="20"/>
        <w:lang w:val="fr-FR"/>
      </w:rPr>
      <w:t>a</w:t>
    </w:r>
    <w:r w:rsidRPr="00697903">
      <w:rPr>
        <w:rFonts w:ascii="Arial" w:eastAsia="Franklin Gothic Book" w:hAnsi="Arial" w:cs="Arial"/>
        <w:color w:val="003E44"/>
        <w:w w:val="103"/>
        <w:sz w:val="20"/>
        <w:szCs w:val="20"/>
        <w:lang w:val="fr-FR"/>
      </w:rPr>
      <w:t>c</w:t>
    </w:r>
    <w:r w:rsidRPr="00697903">
      <w:rPr>
        <w:rFonts w:ascii="Arial" w:eastAsia="Franklin Gothic Book" w:hAnsi="Arial" w:cs="Arial"/>
        <w:color w:val="003E44"/>
        <w:spacing w:val="-1"/>
        <w:w w:val="120"/>
        <w:sz w:val="20"/>
        <w:szCs w:val="20"/>
        <w:lang w:val="fr-FR"/>
      </w:rPr>
      <w:t>.</w:t>
    </w:r>
    <w:r w:rsidRPr="00697903">
      <w:rPr>
        <w:rFonts w:ascii="Arial" w:eastAsia="Franklin Gothic Book" w:hAnsi="Arial" w:cs="Arial"/>
        <w:color w:val="003E44"/>
        <w:spacing w:val="2"/>
        <w:w w:val="99"/>
        <w:sz w:val="20"/>
        <w:szCs w:val="20"/>
        <w:lang w:val="fr-FR"/>
      </w:rPr>
      <w:t>u</w:t>
    </w:r>
    <w:r w:rsidRPr="00697903">
      <w:rPr>
        <w:rFonts w:ascii="Arial" w:eastAsia="Franklin Gothic Book" w:hAnsi="Arial" w:cs="Arial"/>
        <w:color w:val="003E44"/>
        <w:sz w:val="20"/>
        <w:szCs w:val="20"/>
        <w:lang w:val="fr-FR"/>
      </w:rPr>
      <w:t>k</w:t>
    </w:r>
    <w:proofErr w:type="gramEnd"/>
    <w:r w:rsidRPr="00697903">
      <w:rPr>
        <w:rFonts w:ascii="Arial" w:eastAsia="Franklin Gothic Book" w:hAnsi="Arial" w:cs="Arial"/>
        <w:color w:val="003E44"/>
        <w:sz w:val="20"/>
        <w:szCs w:val="20"/>
        <w:lang w:val="fr-FR"/>
      </w:rPr>
      <w:br/>
    </w:r>
    <w:hyperlink r:id="rId1">
      <w:r w:rsidRPr="00697903">
        <w:rPr>
          <w:rFonts w:ascii="Arial" w:eastAsia="Franklin Gothic Book" w:hAnsi="Arial" w:cs="Arial"/>
          <w:color w:val="003E44"/>
          <w:spacing w:val="8"/>
          <w:w w:val="99"/>
          <w:sz w:val="20"/>
          <w:szCs w:val="20"/>
          <w:lang w:val="fr-FR"/>
        </w:rPr>
        <w:t>ww</w:t>
      </w:r>
      <w:r w:rsidRPr="00697903">
        <w:rPr>
          <w:rFonts w:ascii="Arial" w:eastAsia="Franklin Gothic Book" w:hAnsi="Arial" w:cs="Arial"/>
          <w:color w:val="003E44"/>
          <w:spacing w:val="-4"/>
          <w:w w:val="99"/>
          <w:sz w:val="20"/>
          <w:szCs w:val="20"/>
          <w:lang w:val="fr-FR"/>
        </w:rPr>
        <w:t>w</w:t>
      </w:r>
      <w:r w:rsidRPr="00697903">
        <w:rPr>
          <w:rFonts w:ascii="Arial" w:eastAsia="Franklin Gothic Book" w:hAnsi="Arial" w:cs="Arial"/>
          <w:color w:val="003E44"/>
          <w:spacing w:val="1"/>
          <w:w w:val="120"/>
          <w:sz w:val="20"/>
          <w:szCs w:val="20"/>
          <w:lang w:val="fr-FR"/>
        </w:rPr>
        <w:t>.</w:t>
      </w:r>
      <w:r w:rsidRPr="00697903">
        <w:rPr>
          <w:rFonts w:ascii="Arial" w:eastAsia="Franklin Gothic Book" w:hAnsi="Arial" w:cs="Arial"/>
          <w:color w:val="003E44"/>
          <w:spacing w:val="1"/>
          <w:w w:val="112"/>
          <w:sz w:val="20"/>
          <w:szCs w:val="20"/>
          <w:lang w:val="fr-FR"/>
        </w:rPr>
        <w:t>s</w:t>
      </w:r>
      <w:r w:rsidRPr="00697903">
        <w:rPr>
          <w:rFonts w:ascii="Arial" w:eastAsia="Franklin Gothic Book" w:hAnsi="Arial" w:cs="Arial"/>
          <w:color w:val="003E44"/>
          <w:spacing w:val="2"/>
          <w:w w:val="99"/>
          <w:sz w:val="20"/>
          <w:szCs w:val="20"/>
          <w:lang w:val="fr-FR"/>
        </w:rPr>
        <w:t>u</w:t>
      </w:r>
      <w:r w:rsidRPr="00697903">
        <w:rPr>
          <w:rFonts w:ascii="Arial" w:eastAsia="Franklin Gothic Book" w:hAnsi="Arial" w:cs="Arial"/>
          <w:color w:val="003E44"/>
          <w:spacing w:val="3"/>
          <w:w w:val="112"/>
          <w:sz w:val="20"/>
          <w:szCs w:val="20"/>
          <w:lang w:val="fr-FR"/>
        </w:rPr>
        <w:t>s</w:t>
      </w:r>
      <w:r w:rsidRPr="00697903">
        <w:rPr>
          <w:rFonts w:ascii="Arial" w:eastAsia="Franklin Gothic Book" w:hAnsi="Arial" w:cs="Arial"/>
          <w:color w:val="003E44"/>
          <w:spacing w:val="2"/>
          <w:w w:val="112"/>
          <w:sz w:val="20"/>
          <w:szCs w:val="20"/>
          <w:lang w:val="fr-FR"/>
        </w:rPr>
        <w:t>s</w:t>
      </w:r>
      <w:r w:rsidRPr="00697903">
        <w:rPr>
          <w:rFonts w:ascii="Arial" w:eastAsia="Franklin Gothic Book" w:hAnsi="Arial" w:cs="Arial"/>
          <w:color w:val="003E44"/>
          <w:w w:val="103"/>
          <w:sz w:val="20"/>
          <w:szCs w:val="20"/>
          <w:lang w:val="fr-FR"/>
        </w:rPr>
        <w:t>e</w:t>
      </w:r>
      <w:r w:rsidRPr="00697903">
        <w:rPr>
          <w:rFonts w:ascii="Arial" w:eastAsia="Franklin Gothic Book" w:hAnsi="Arial" w:cs="Arial"/>
          <w:color w:val="003E44"/>
          <w:spacing w:val="3"/>
          <w:w w:val="104"/>
          <w:sz w:val="20"/>
          <w:szCs w:val="20"/>
          <w:lang w:val="fr-FR"/>
        </w:rPr>
        <w:t>x</w:t>
      </w:r>
      <w:r w:rsidRPr="00697903">
        <w:rPr>
          <w:rFonts w:ascii="Arial" w:eastAsia="Franklin Gothic Book" w:hAnsi="Arial" w:cs="Arial"/>
          <w:color w:val="003E44"/>
          <w:spacing w:val="1"/>
          <w:w w:val="120"/>
          <w:sz w:val="20"/>
          <w:szCs w:val="20"/>
          <w:lang w:val="fr-FR"/>
        </w:rPr>
        <w:t>.</w:t>
      </w:r>
      <w:r w:rsidRPr="00697903">
        <w:rPr>
          <w:rFonts w:ascii="Arial" w:eastAsia="Franklin Gothic Book" w:hAnsi="Arial" w:cs="Arial"/>
          <w:color w:val="003E44"/>
          <w:spacing w:val="4"/>
          <w:w w:val="102"/>
          <w:sz w:val="20"/>
          <w:szCs w:val="20"/>
          <w:lang w:val="fr-FR"/>
        </w:rPr>
        <w:t>a</w:t>
      </w:r>
      <w:r w:rsidRPr="00697903">
        <w:rPr>
          <w:rFonts w:ascii="Arial" w:eastAsia="Franklin Gothic Book" w:hAnsi="Arial" w:cs="Arial"/>
          <w:color w:val="003E44"/>
          <w:w w:val="103"/>
          <w:sz w:val="20"/>
          <w:szCs w:val="20"/>
          <w:lang w:val="fr-FR"/>
        </w:rPr>
        <w:t>c</w:t>
      </w:r>
      <w:r w:rsidRPr="00697903">
        <w:rPr>
          <w:rFonts w:ascii="Arial" w:eastAsia="Franklin Gothic Book" w:hAnsi="Arial" w:cs="Arial"/>
          <w:color w:val="003E44"/>
          <w:spacing w:val="-1"/>
          <w:w w:val="120"/>
          <w:sz w:val="20"/>
          <w:szCs w:val="20"/>
          <w:lang w:val="fr-FR"/>
        </w:rPr>
        <w:t>.</w:t>
      </w:r>
      <w:r w:rsidRPr="00697903">
        <w:rPr>
          <w:rFonts w:ascii="Arial" w:eastAsia="Franklin Gothic Book" w:hAnsi="Arial" w:cs="Arial"/>
          <w:color w:val="003E44"/>
          <w:spacing w:val="2"/>
          <w:w w:val="99"/>
          <w:sz w:val="20"/>
          <w:szCs w:val="20"/>
          <w:lang w:val="fr-FR"/>
        </w:rPr>
        <w:t>u</w:t>
      </w:r>
      <w:r w:rsidRPr="00697903">
        <w:rPr>
          <w:rFonts w:ascii="Arial" w:eastAsia="Franklin Gothic Book" w:hAnsi="Arial" w:cs="Arial"/>
          <w:color w:val="003E44"/>
          <w:sz w:val="20"/>
          <w:szCs w:val="20"/>
          <w:lang w:val="fr-FR"/>
        </w:rPr>
        <w:t>k</w:t>
      </w:r>
    </w:hyperlink>
    <w:r w:rsidRPr="00697903">
      <w:rPr>
        <w:rFonts w:ascii="Arial" w:eastAsia="Franklin Gothic Book" w:hAnsi="Arial" w:cs="Arial"/>
        <w:color w:val="003E44"/>
        <w:sz w:val="20"/>
        <w:szCs w:val="20"/>
        <w:lang w:val="fr-FR"/>
      </w:rPr>
      <w:t>/newsandevents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893AF" w14:textId="77777777" w:rsidR="00591C83" w:rsidRDefault="00591C83" w:rsidP="00B07E4A">
      <w:pPr>
        <w:spacing w:after="0" w:line="240" w:lineRule="auto"/>
      </w:pPr>
      <w:r>
        <w:separator/>
      </w:r>
    </w:p>
  </w:footnote>
  <w:footnote w:type="continuationSeparator" w:id="0">
    <w:p w14:paraId="01D40518" w14:textId="77777777" w:rsidR="00591C83" w:rsidRDefault="00591C83" w:rsidP="00B07E4A">
      <w:pPr>
        <w:spacing w:after="0" w:line="240" w:lineRule="auto"/>
      </w:pPr>
      <w:r>
        <w:continuationSeparator/>
      </w:r>
    </w:p>
  </w:footnote>
  <w:footnote w:id="1">
    <w:p w14:paraId="4EBBC56F" w14:textId="77777777" w:rsidR="00AF45B5" w:rsidRDefault="00AF45B5" w:rsidP="00AF45B5">
      <w:pPr>
        <w:pStyle w:val="FootnoteText"/>
      </w:pPr>
      <w:r>
        <w:rPr>
          <w:rStyle w:val="FootnoteReference"/>
        </w:rPr>
        <w:footnoteRef/>
      </w:r>
      <w:r>
        <w:t xml:space="preserve"> </w:t>
      </w:r>
      <w:hyperlink r:id="rId1" w:history="1">
        <w:r w:rsidRPr="00B7617E">
          <w:rPr>
            <w:rStyle w:val="Hyperlink"/>
          </w:rPr>
          <w:t>https://www.nfuonline.com/news/featured-article/uk-food-farming-sector-unites-to-highlight-impact-on-home-grown-production/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76DEB"/>
    <w:multiLevelType w:val="hybridMultilevel"/>
    <w:tmpl w:val="2974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30C9F"/>
    <w:multiLevelType w:val="hybridMultilevel"/>
    <w:tmpl w:val="E41C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77636"/>
    <w:multiLevelType w:val="hybridMultilevel"/>
    <w:tmpl w:val="6E42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E4F85"/>
    <w:multiLevelType w:val="hybridMultilevel"/>
    <w:tmpl w:val="C37AA8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A6755"/>
    <w:multiLevelType w:val="hybridMultilevel"/>
    <w:tmpl w:val="0BB6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2A2620"/>
    <w:multiLevelType w:val="hybridMultilevel"/>
    <w:tmpl w:val="71322636"/>
    <w:lvl w:ilvl="0" w:tplc="54001146">
      <w:start w:val="1"/>
      <w:numFmt w:val="decimal"/>
      <w:lvlText w:val="%1."/>
      <w:lvlJc w:val="left"/>
      <w:pPr>
        <w:ind w:left="502"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8848F3"/>
    <w:multiLevelType w:val="hybridMultilevel"/>
    <w:tmpl w:val="BD04B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00B49"/>
    <w:multiLevelType w:val="hybridMultilevel"/>
    <w:tmpl w:val="28F0C44A"/>
    <w:lvl w:ilvl="0" w:tplc="11C27CA6">
      <w:numFmt w:val="bullet"/>
      <w:lvlText w:val="-"/>
      <w:lvlJc w:val="left"/>
      <w:pPr>
        <w:ind w:left="405" w:hanging="360"/>
      </w:pPr>
      <w:rPr>
        <w:rFonts w:ascii="Calibri" w:eastAsiaTheme="minorEastAsia"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730886"/>
    <w:multiLevelType w:val="multilevel"/>
    <w:tmpl w:val="5462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216F38"/>
    <w:multiLevelType w:val="hybridMultilevel"/>
    <w:tmpl w:val="FBAED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447D"/>
    <w:multiLevelType w:val="hybridMultilevel"/>
    <w:tmpl w:val="29228C3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E850CC"/>
    <w:multiLevelType w:val="multilevel"/>
    <w:tmpl w:val="D646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FD2AE2"/>
    <w:multiLevelType w:val="multilevel"/>
    <w:tmpl w:val="CB40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4B4BF4"/>
    <w:multiLevelType w:val="hybridMultilevel"/>
    <w:tmpl w:val="039E1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10"/>
  </w:num>
  <w:num w:numId="4">
    <w:abstractNumId w:val="8"/>
  </w:num>
  <w:num w:numId="5">
    <w:abstractNumId w:val="6"/>
  </w:num>
  <w:num w:numId="6">
    <w:abstractNumId w:val="1"/>
  </w:num>
  <w:num w:numId="7">
    <w:abstractNumId w:val="4"/>
  </w:num>
  <w:num w:numId="8">
    <w:abstractNumId w:val="2"/>
  </w:num>
  <w:num w:numId="9">
    <w:abstractNumId w:val="9"/>
  </w:num>
  <w:num w:numId="10">
    <w:abstractNumId w:val="12"/>
  </w:num>
  <w:num w:numId="11">
    <w:abstractNumId w:val="11"/>
  </w:num>
  <w:num w:numId="12">
    <w:abstractNumId w:val="7"/>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ACC"/>
    <w:rsid w:val="000004F4"/>
    <w:rsid w:val="00016CED"/>
    <w:rsid w:val="00017A46"/>
    <w:rsid w:val="00020654"/>
    <w:rsid w:val="00030540"/>
    <w:rsid w:val="0006035E"/>
    <w:rsid w:val="00060730"/>
    <w:rsid w:val="000642B2"/>
    <w:rsid w:val="00066831"/>
    <w:rsid w:val="00067014"/>
    <w:rsid w:val="000B12BC"/>
    <w:rsid w:val="000B4DDB"/>
    <w:rsid w:val="000D7227"/>
    <w:rsid w:val="000E1966"/>
    <w:rsid w:val="000E656A"/>
    <w:rsid w:val="00101487"/>
    <w:rsid w:val="00107D7E"/>
    <w:rsid w:val="00121D93"/>
    <w:rsid w:val="00122452"/>
    <w:rsid w:val="001230E1"/>
    <w:rsid w:val="0012490F"/>
    <w:rsid w:val="001269EB"/>
    <w:rsid w:val="00130364"/>
    <w:rsid w:val="00146DC9"/>
    <w:rsid w:val="001660DA"/>
    <w:rsid w:val="001824DD"/>
    <w:rsid w:val="001924CF"/>
    <w:rsid w:val="00196A21"/>
    <w:rsid w:val="001A036C"/>
    <w:rsid w:val="001A3815"/>
    <w:rsid w:val="001B4A37"/>
    <w:rsid w:val="001C3718"/>
    <w:rsid w:val="001C6CF5"/>
    <w:rsid w:val="001D3B2F"/>
    <w:rsid w:val="001E5053"/>
    <w:rsid w:val="001F35EB"/>
    <w:rsid w:val="002028ED"/>
    <w:rsid w:val="002057B6"/>
    <w:rsid w:val="00214656"/>
    <w:rsid w:val="002220AD"/>
    <w:rsid w:val="00224374"/>
    <w:rsid w:val="00244544"/>
    <w:rsid w:val="00260C34"/>
    <w:rsid w:val="00273CFB"/>
    <w:rsid w:val="00290042"/>
    <w:rsid w:val="00290BE0"/>
    <w:rsid w:val="00295307"/>
    <w:rsid w:val="002A5F90"/>
    <w:rsid w:val="002A60D3"/>
    <w:rsid w:val="002B11A7"/>
    <w:rsid w:val="002B2E7D"/>
    <w:rsid w:val="002C352C"/>
    <w:rsid w:val="002C5BE5"/>
    <w:rsid w:val="002E2C6E"/>
    <w:rsid w:val="002F2ED9"/>
    <w:rsid w:val="002F2FD8"/>
    <w:rsid w:val="002F7BAD"/>
    <w:rsid w:val="00323F41"/>
    <w:rsid w:val="00330248"/>
    <w:rsid w:val="003336AC"/>
    <w:rsid w:val="003635B9"/>
    <w:rsid w:val="00370912"/>
    <w:rsid w:val="003745EB"/>
    <w:rsid w:val="00390224"/>
    <w:rsid w:val="00391A18"/>
    <w:rsid w:val="00393E14"/>
    <w:rsid w:val="00394751"/>
    <w:rsid w:val="003B57EA"/>
    <w:rsid w:val="003B6555"/>
    <w:rsid w:val="003C1E4A"/>
    <w:rsid w:val="003D7120"/>
    <w:rsid w:val="003E3BD3"/>
    <w:rsid w:val="00417B37"/>
    <w:rsid w:val="00431997"/>
    <w:rsid w:val="004436D6"/>
    <w:rsid w:val="00446598"/>
    <w:rsid w:val="0046200A"/>
    <w:rsid w:val="00471AA8"/>
    <w:rsid w:val="0049400C"/>
    <w:rsid w:val="004A2AC8"/>
    <w:rsid w:val="004A7F6D"/>
    <w:rsid w:val="004C0E16"/>
    <w:rsid w:val="004D7E98"/>
    <w:rsid w:val="004E7E18"/>
    <w:rsid w:val="004F77A2"/>
    <w:rsid w:val="0051145E"/>
    <w:rsid w:val="005278C7"/>
    <w:rsid w:val="00533A5F"/>
    <w:rsid w:val="0053405D"/>
    <w:rsid w:val="00534E39"/>
    <w:rsid w:val="00537295"/>
    <w:rsid w:val="00547481"/>
    <w:rsid w:val="00547588"/>
    <w:rsid w:val="00553B40"/>
    <w:rsid w:val="0055752B"/>
    <w:rsid w:val="00567337"/>
    <w:rsid w:val="00576EED"/>
    <w:rsid w:val="0058063D"/>
    <w:rsid w:val="00591C83"/>
    <w:rsid w:val="0059443D"/>
    <w:rsid w:val="00595874"/>
    <w:rsid w:val="005A6EE2"/>
    <w:rsid w:val="005B0083"/>
    <w:rsid w:val="005B1B99"/>
    <w:rsid w:val="005B280C"/>
    <w:rsid w:val="005B3B5D"/>
    <w:rsid w:val="005C1240"/>
    <w:rsid w:val="005D4000"/>
    <w:rsid w:val="005D40F7"/>
    <w:rsid w:val="005F08BB"/>
    <w:rsid w:val="005F344A"/>
    <w:rsid w:val="00604C38"/>
    <w:rsid w:val="006275A6"/>
    <w:rsid w:val="00635FA0"/>
    <w:rsid w:val="00644473"/>
    <w:rsid w:val="006567FE"/>
    <w:rsid w:val="006632FF"/>
    <w:rsid w:val="006655F2"/>
    <w:rsid w:val="00665A51"/>
    <w:rsid w:val="006A0C2C"/>
    <w:rsid w:val="006B0069"/>
    <w:rsid w:val="006B5C7E"/>
    <w:rsid w:val="006F6BEC"/>
    <w:rsid w:val="00707D14"/>
    <w:rsid w:val="00715851"/>
    <w:rsid w:val="00744C7E"/>
    <w:rsid w:val="00752A89"/>
    <w:rsid w:val="007555C4"/>
    <w:rsid w:val="0075720A"/>
    <w:rsid w:val="00770A5A"/>
    <w:rsid w:val="00777B04"/>
    <w:rsid w:val="00796495"/>
    <w:rsid w:val="007B0BAA"/>
    <w:rsid w:val="007B22F5"/>
    <w:rsid w:val="007B66CC"/>
    <w:rsid w:val="007C5661"/>
    <w:rsid w:val="007D4F6E"/>
    <w:rsid w:val="007E31E7"/>
    <w:rsid w:val="007E3BFF"/>
    <w:rsid w:val="00815CDD"/>
    <w:rsid w:val="008349AD"/>
    <w:rsid w:val="00847D6C"/>
    <w:rsid w:val="00861AC7"/>
    <w:rsid w:val="00875973"/>
    <w:rsid w:val="008872D0"/>
    <w:rsid w:val="00895FDE"/>
    <w:rsid w:val="008A53CE"/>
    <w:rsid w:val="008A6E0E"/>
    <w:rsid w:val="008B5129"/>
    <w:rsid w:val="008B5755"/>
    <w:rsid w:val="008E2FAB"/>
    <w:rsid w:val="008E3399"/>
    <w:rsid w:val="008F3A88"/>
    <w:rsid w:val="008F4615"/>
    <w:rsid w:val="008F6BBD"/>
    <w:rsid w:val="00915515"/>
    <w:rsid w:val="0092450B"/>
    <w:rsid w:val="00945D09"/>
    <w:rsid w:val="00947A73"/>
    <w:rsid w:val="00953A2B"/>
    <w:rsid w:val="00955844"/>
    <w:rsid w:val="009701D5"/>
    <w:rsid w:val="009A2688"/>
    <w:rsid w:val="009B1517"/>
    <w:rsid w:val="009C3CA4"/>
    <w:rsid w:val="009D02F3"/>
    <w:rsid w:val="009D45B6"/>
    <w:rsid w:val="009E2FC3"/>
    <w:rsid w:val="009E5C3A"/>
    <w:rsid w:val="00A065E7"/>
    <w:rsid w:val="00A0797C"/>
    <w:rsid w:val="00A113D7"/>
    <w:rsid w:val="00A16649"/>
    <w:rsid w:val="00A30D28"/>
    <w:rsid w:val="00A310BE"/>
    <w:rsid w:val="00A31623"/>
    <w:rsid w:val="00A50BE0"/>
    <w:rsid w:val="00A56371"/>
    <w:rsid w:val="00A619F2"/>
    <w:rsid w:val="00A61EBC"/>
    <w:rsid w:val="00A669BA"/>
    <w:rsid w:val="00A6772B"/>
    <w:rsid w:val="00A713F0"/>
    <w:rsid w:val="00AA26CB"/>
    <w:rsid w:val="00AA2B73"/>
    <w:rsid w:val="00AB2C49"/>
    <w:rsid w:val="00AC3427"/>
    <w:rsid w:val="00AF45B5"/>
    <w:rsid w:val="00AF7A45"/>
    <w:rsid w:val="00B00718"/>
    <w:rsid w:val="00B032CE"/>
    <w:rsid w:val="00B067D9"/>
    <w:rsid w:val="00B07B2F"/>
    <w:rsid w:val="00B07E4A"/>
    <w:rsid w:val="00B10DCE"/>
    <w:rsid w:val="00B164E4"/>
    <w:rsid w:val="00B26E20"/>
    <w:rsid w:val="00B27680"/>
    <w:rsid w:val="00B44DCA"/>
    <w:rsid w:val="00B52B0C"/>
    <w:rsid w:val="00B56638"/>
    <w:rsid w:val="00B70171"/>
    <w:rsid w:val="00B82F5E"/>
    <w:rsid w:val="00BD3BAC"/>
    <w:rsid w:val="00BE42EC"/>
    <w:rsid w:val="00BE7E60"/>
    <w:rsid w:val="00BF54E6"/>
    <w:rsid w:val="00BF70C3"/>
    <w:rsid w:val="00C16060"/>
    <w:rsid w:val="00C176F4"/>
    <w:rsid w:val="00C67F16"/>
    <w:rsid w:val="00C70793"/>
    <w:rsid w:val="00C770B0"/>
    <w:rsid w:val="00C91BB4"/>
    <w:rsid w:val="00C92DD5"/>
    <w:rsid w:val="00CA194D"/>
    <w:rsid w:val="00CB125B"/>
    <w:rsid w:val="00CB4196"/>
    <w:rsid w:val="00CD679A"/>
    <w:rsid w:val="00CD6CFE"/>
    <w:rsid w:val="00D0769D"/>
    <w:rsid w:val="00D179F7"/>
    <w:rsid w:val="00D17EBC"/>
    <w:rsid w:val="00D30BF3"/>
    <w:rsid w:val="00D33689"/>
    <w:rsid w:val="00D34029"/>
    <w:rsid w:val="00D50A95"/>
    <w:rsid w:val="00D62365"/>
    <w:rsid w:val="00D740EB"/>
    <w:rsid w:val="00D84FC3"/>
    <w:rsid w:val="00D92B17"/>
    <w:rsid w:val="00D9536B"/>
    <w:rsid w:val="00DB0A47"/>
    <w:rsid w:val="00DB3BA2"/>
    <w:rsid w:val="00DB6978"/>
    <w:rsid w:val="00DD585A"/>
    <w:rsid w:val="00DD78EA"/>
    <w:rsid w:val="00DE0DCD"/>
    <w:rsid w:val="00DE50FB"/>
    <w:rsid w:val="00DF28AF"/>
    <w:rsid w:val="00DF6CDC"/>
    <w:rsid w:val="00DF6F02"/>
    <w:rsid w:val="00E01132"/>
    <w:rsid w:val="00E270F0"/>
    <w:rsid w:val="00E36371"/>
    <w:rsid w:val="00E365B3"/>
    <w:rsid w:val="00E84283"/>
    <w:rsid w:val="00E92935"/>
    <w:rsid w:val="00EA61B8"/>
    <w:rsid w:val="00EB15FB"/>
    <w:rsid w:val="00EB1952"/>
    <w:rsid w:val="00EB4D24"/>
    <w:rsid w:val="00EB6EE2"/>
    <w:rsid w:val="00ED46FE"/>
    <w:rsid w:val="00EE1480"/>
    <w:rsid w:val="00EF42CA"/>
    <w:rsid w:val="00F0510F"/>
    <w:rsid w:val="00F13AE0"/>
    <w:rsid w:val="00F22ACC"/>
    <w:rsid w:val="00F320DD"/>
    <w:rsid w:val="00F33766"/>
    <w:rsid w:val="00F55650"/>
    <w:rsid w:val="00F95882"/>
    <w:rsid w:val="00FA0396"/>
    <w:rsid w:val="00FA4DC0"/>
    <w:rsid w:val="00FB23B9"/>
    <w:rsid w:val="00FB77E2"/>
    <w:rsid w:val="00FC1FEE"/>
    <w:rsid w:val="00FD0622"/>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1F8A04"/>
  <w15:docId w15:val="{F2B0DC75-43C9-40C0-9CFC-8C8E7BFFD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ACC"/>
  </w:style>
  <w:style w:type="paragraph" w:styleId="Heading1">
    <w:name w:val="heading 1"/>
    <w:basedOn w:val="Normal"/>
    <w:next w:val="Normal"/>
    <w:link w:val="Heading1Char"/>
    <w:uiPriority w:val="9"/>
    <w:qFormat/>
    <w:rsid w:val="00F958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065E7"/>
    <w:pPr>
      <w:spacing w:before="100" w:beforeAutospacing="1" w:after="100" w:afterAutospacing="1" w:line="240" w:lineRule="auto"/>
      <w:outlineLvl w:val="1"/>
    </w:pPr>
    <w:rPr>
      <w:rFonts w:ascii="Times New Roman" w:eastAsia="Times New Roman" w:hAnsi="Times New Roman" w:cs="Times New Roman"/>
      <w:b/>
      <w:bCs/>
      <w:sz w:val="36"/>
      <w:szCs w:val="3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2ACC"/>
    <w:rPr>
      <w:color w:val="0563C1" w:themeColor="hyperlink"/>
      <w:u w:val="single"/>
    </w:rPr>
  </w:style>
  <w:style w:type="paragraph" w:styleId="NoSpacing">
    <w:name w:val="No Spacing"/>
    <w:uiPriority w:val="1"/>
    <w:qFormat/>
    <w:rsid w:val="00F22ACC"/>
    <w:pPr>
      <w:spacing w:after="0" w:line="240" w:lineRule="auto"/>
    </w:pPr>
  </w:style>
  <w:style w:type="paragraph" w:styleId="BalloonText">
    <w:name w:val="Balloon Text"/>
    <w:basedOn w:val="Normal"/>
    <w:link w:val="BalloonTextChar"/>
    <w:uiPriority w:val="99"/>
    <w:semiHidden/>
    <w:unhideWhenUsed/>
    <w:rsid w:val="00F13A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AE0"/>
    <w:rPr>
      <w:rFonts w:ascii="Segoe UI" w:hAnsi="Segoe UI" w:cs="Segoe UI"/>
      <w:sz w:val="18"/>
      <w:szCs w:val="18"/>
    </w:rPr>
  </w:style>
  <w:style w:type="paragraph" w:styleId="BlockText">
    <w:name w:val="Block Text"/>
    <w:basedOn w:val="Normal"/>
    <w:uiPriority w:val="99"/>
    <w:semiHidden/>
    <w:unhideWhenUsed/>
    <w:rsid w:val="00BD3BAC"/>
    <w:pPr>
      <w:spacing w:after="0" w:line="360" w:lineRule="atLeast"/>
      <w:ind w:left="260" w:right="-1080" w:hanging="260"/>
    </w:pPr>
    <w:rPr>
      <w:rFonts w:ascii="Times" w:hAnsi="Times" w:cs="Times"/>
      <w:sz w:val="24"/>
      <w:szCs w:val="24"/>
    </w:rPr>
  </w:style>
  <w:style w:type="paragraph" w:styleId="PlainText">
    <w:name w:val="Plain Text"/>
    <w:basedOn w:val="Normal"/>
    <w:link w:val="PlainTextChar"/>
    <w:uiPriority w:val="99"/>
    <w:unhideWhenUsed/>
    <w:rsid w:val="006B006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B0069"/>
    <w:rPr>
      <w:rFonts w:ascii="Calibri" w:hAnsi="Calibri"/>
      <w:szCs w:val="21"/>
    </w:rPr>
  </w:style>
  <w:style w:type="paragraph" w:styleId="NormalWeb">
    <w:name w:val="Normal (Web)"/>
    <w:basedOn w:val="Normal"/>
    <w:uiPriority w:val="99"/>
    <w:unhideWhenUsed/>
    <w:rsid w:val="00101487"/>
    <w:pPr>
      <w:spacing w:after="0" w:line="240" w:lineRule="auto"/>
    </w:pPr>
    <w:rPr>
      <w:rFonts w:ascii="Times New Roman" w:hAnsi="Times New Roman" w:cs="Times New Roman"/>
      <w:sz w:val="24"/>
      <w:szCs w:val="24"/>
      <w:lang w:eastAsia="en-GB" w:bidi="he-IL"/>
    </w:rPr>
  </w:style>
  <w:style w:type="paragraph" w:styleId="Header">
    <w:name w:val="header"/>
    <w:basedOn w:val="Normal"/>
    <w:link w:val="HeaderChar"/>
    <w:uiPriority w:val="99"/>
    <w:unhideWhenUsed/>
    <w:rsid w:val="00B07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E4A"/>
  </w:style>
  <w:style w:type="paragraph" w:styleId="Footer">
    <w:name w:val="footer"/>
    <w:basedOn w:val="Normal"/>
    <w:link w:val="FooterChar"/>
    <w:uiPriority w:val="99"/>
    <w:unhideWhenUsed/>
    <w:rsid w:val="00B07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E4A"/>
  </w:style>
  <w:style w:type="character" w:customStyle="1" w:styleId="apple-converted-space">
    <w:name w:val="apple-converted-space"/>
    <w:basedOn w:val="DefaultParagraphFont"/>
    <w:rsid w:val="006655F2"/>
  </w:style>
  <w:style w:type="paragraph" w:styleId="ListParagraph">
    <w:name w:val="List Paragraph"/>
    <w:basedOn w:val="Normal"/>
    <w:uiPriority w:val="34"/>
    <w:qFormat/>
    <w:rsid w:val="006655F2"/>
    <w:pPr>
      <w:ind w:left="720"/>
      <w:contextualSpacing/>
    </w:pPr>
  </w:style>
  <w:style w:type="character" w:customStyle="1" w:styleId="personname">
    <w:name w:val="person_name"/>
    <w:basedOn w:val="DefaultParagraphFont"/>
    <w:rsid w:val="006655F2"/>
  </w:style>
  <w:style w:type="character" w:styleId="Emphasis">
    <w:name w:val="Emphasis"/>
    <w:basedOn w:val="DefaultParagraphFont"/>
    <w:uiPriority w:val="20"/>
    <w:qFormat/>
    <w:rsid w:val="006655F2"/>
    <w:rPr>
      <w:i/>
      <w:iCs/>
    </w:rPr>
  </w:style>
  <w:style w:type="table" w:styleId="TableGrid">
    <w:name w:val="Table Grid"/>
    <w:basedOn w:val="TableNormal"/>
    <w:uiPriority w:val="39"/>
    <w:rsid w:val="00796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701D5"/>
    <w:rPr>
      <w:color w:val="954F72" w:themeColor="followedHyperlink"/>
      <w:u w:val="single"/>
    </w:rPr>
  </w:style>
  <w:style w:type="character" w:customStyle="1" w:styleId="Heading2Char">
    <w:name w:val="Heading 2 Char"/>
    <w:basedOn w:val="DefaultParagraphFont"/>
    <w:link w:val="Heading2"/>
    <w:uiPriority w:val="9"/>
    <w:rsid w:val="00A065E7"/>
    <w:rPr>
      <w:rFonts w:ascii="Times New Roman" w:eastAsia="Times New Roman" w:hAnsi="Times New Roman" w:cs="Times New Roman"/>
      <w:b/>
      <w:bCs/>
      <w:sz w:val="36"/>
      <w:szCs w:val="36"/>
      <w:lang w:eastAsia="en-GB" w:bidi="he-IL"/>
    </w:rPr>
  </w:style>
  <w:style w:type="paragraph" w:customStyle="1" w:styleId="Caption1">
    <w:name w:val="Caption1"/>
    <w:basedOn w:val="Normal"/>
    <w:rsid w:val="00A065E7"/>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paragraph" w:styleId="CommentText">
    <w:name w:val="annotation text"/>
    <w:basedOn w:val="Normal"/>
    <w:link w:val="CommentTextChar"/>
    <w:uiPriority w:val="99"/>
    <w:semiHidden/>
    <w:unhideWhenUsed/>
    <w:rsid w:val="003B6555"/>
    <w:pPr>
      <w:spacing w:line="240" w:lineRule="auto"/>
    </w:pPr>
    <w:rPr>
      <w:sz w:val="24"/>
      <w:szCs w:val="24"/>
      <w:lang w:bidi="he-IL"/>
    </w:rPr>
  </w:style>
  <w:style w:type="character" w:customStyle="1" w:styleId="CommentTextChar">
    <w:name w:val="Comment Text Char"/>
    <w:basedOn w:val="DefaultParagraphFont"/>
    <w:link w:val="CommentText"/>
    <w:uiPriority w:val="99"/>
    <w:semiHidden/>
    <w:rsid w:val="003B6555"/>
    <w:rPr>
      <w:sz w:val="24"/>
      <w:szCs w:val="24"/>
      <w:lang w:bidi="he-IL"/>
    </w:rPr>
  </w:style>
  <w:style w:type="character" w:customStyle="1" w:styleId="Heading1Char">
    <w:name w:val="Heading 1 Char"/>
    <w:basedOn w:val="DefaultParagraphFont"/>
    <w:link w:val="Heading1"/>
    <w:uiPriority w:val="9"/>
    <w:rsid w:val="00F95882"/>
    <w:rPr>
      <w:rFonts w:asciiTheme="majorHAnsi" w:eastAsiaTheme="majorEastAsia" w:hAnsiTheme="majorHAnsi" w:cstheme="majorBidi"/>
      <w:color w:val="2E74B5" w:themeColor="accent1" w:themeShade="BF"/>
      <w:sz w:val="32"/>
      <w:szCs w:val="32"/>
    </w:rPr>
  </w:style>
  <w:style w:type="character" w:customStyle="1" w:styleId="org">
    <w:name w:val="org"/>
    <w:basedOn w:val="DefaultParagraphFont"/>
    <w:rsid w:val="00A669BA"/>
  </w:style>
  <w:style w:type="paragraph" w:styleId="FootnoteText">
    <w:name w:val="footnote text"/>
    <w:basedOn w:val="Normal"/>
    <w:link w:val="FootnoteTextChar"/>
    <w:uiPriority w:val="99"/>
    <w:semiHidden/>
    <w:unhideWhenUsed/>
    <w:rsid w:val="00AF45B5"/>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AF45B5"/>
    <w:rPr>
      <w:rFonts w:eastAsiaTheme="minorEastAsia"/>
      <w:sz w:val="20"/>
      <w:szCs w:val="20"/>
    </w:rPr>
  </w:style>
  <w:style w:type="character" w:styleId="FootnoteReference">
    <w:name w:val="footnote reference"/>
    <w:basedOn w:val="DefaultParagraphFont"/>
    <w:uiPriority w:val="99"/>
    <w:semiHidden/>
    <w:unhideWhenUsed/>
    <w:rsid w:val="00AF45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35836">
      <w:bodyDiv w:val="1"/>
      <w:marLeft w:val="0"/>
      <w:marRight w:val="0"/>
      <w:marTop w:val="0"/>
      <w:marBottom w:val="0"/>
      <w:divBdr>
        <w:top w:val="none" w:sz="0" w:space="0" w:color="auto"/>
        <w:left w:val="none" w:sz="0" w:space="0" w:color="auto"/>
        <w:bottom w:val="none" w:sz="0" w:space="0" w:color="auto"/>
        <w:right w:val="none" w:sz="0" w:space="0" w:color="auto"/>
      </w:divBdr>
    </w:div>
    <w:div w:id="155074882">
      <w:bodyDiv w:val="1"/>
      <w:marLeft w:val="0"/>
      <w:marRight w:val="0"/>
      <w:marTop w:val="0"/>
      <w:marBottom w:val="0"/>
      <w:divBdr>
        <w:top w:val="none" w:sz="0" w:space="0" w:color="auto"/>
        <w:left w:val="none" w:sz="0" w:space="0" w:color="auto"/>
        <w:bottom w:val="none" w:sz="0" w:space="0" w:color="auto"/>
        <w:right w:val="none" w:sz="0" w:space="0" w:color="auto"/>
      </w:divBdr>
    </w:div>
    <w:div w:id="168253778">
      <w:bodyDiv w:val="1"/>
      <w:marLeft w:val="0"/>
      <w:marRight w:val="0"/>
      <w:marTop w:val="0"/>
      <w:marBottom w:val="0"/>
      <w:divBdr>
        <w:top w:val="none" w:sz="0" w:space="0" w:color="auto"/>
        <w:left w:val="none" w:sz="0" w:space="0" w:color="auto"/>
        <w:bottom w:val="none" w:sz="0" w:space="0" w:color="auto"/>
        <w:right w:val="none" w:sz="0" w:space="0" w:color="auto"/>
      </w:divBdr>
    </w:div>
    <w:div w:id="232857361">
      <w:bodyDiv w:val="1"/>
      <w:marLeft w:val="0"/>
      <w:marRight w:val="0"/>
      <w:marTop w:val="0"/>
      <w:marBottom w:val="0"/>
      <w:divBdr>
        <w:top w:val="none" w:sz="0" w:space="0" w:color="auto"/>
        <w:left w:val="none" w:sz="0" w:space="0" w:color="auto"/>
        <w:bottom w:val="none" w:sz="0" w:space="0" w:color="auto"/>
        <w:right w:val="none" w:sz="0" w:space="0" w:color="auto"/>
      </w:divBdr>
    </w:div>
    <w:div w:id="846335915">
      <w:bodyDiv w:val="1"/>
      <w:marLeft w:val="0"/>
      <w:marRight w:val="0"/>
      <w:marTop w:val="0"/>
      <w:marBottom w:val="0"/>
      <w:divBdr>
        <w:top w:val="none" w:sz="0" w:space="0" w:color="auto"/>
        <w:left w:val="none" w:sz="0" w:space="0" w:color="auto"/>
        <w:bottom w:val="none" w:sz="0" w:space="0" w:color="auto"/>
        <w:right w:val="none" w:sz="0" w:space="0" w:color="auto"/>
      </w:divBdr>
    </w:div>
    <w:div w:id="1458140374">
      <w:bodyDiv w:val="1"/>
      <w:marLeft w:val="0"/>
      <w:marRight w:val="0"/>
      <w:marTop w:val="0"/>
      <w:marBottom w:val="0"/>
      <w:divBdr>
        <w:top w:val="none" w:sz="0" w:space="0" w:color="auto"/>
        <w:left w:val="none" w:sz="0" w:space="0" w:color="auto"/>
        <w:bottom w:val="none" w:sz="0" w:space="0" w:color="auto"/>
        <w:right w:val="none" w:sz="0" w:space="0" w:color="auto"/>
      </w:divBdr>
    </w:div>
    <w:div w:id="1704087318">
      <w:bodyDiv w:val="1"/>
      <w:marLeft w:val="0"/>
      <w:marRight w:val="0"/>
      <w:marTop w:val="0"/>
      <w:marBottom w:val="0"/>
      <w:divBdr>
        <w:top w:val="none" w:sz="0" w:space="0" w:color="auto"/>
        <w:left w:val="none" w:sz="0" w:space="0" w:color="auto"/>
        <w:bottom w:val="none" w:sz="0" w:space="0" w:color="auto"/>
        <w:right w:val="none" w:sz="0" w:space="0" w:color="auto"/>
      </w:divBdr>
    </w:div>
    <w:div w:id="1805851547">
      <w:bodyDiv w:val="1"/>
      <w:marLeft w:val="0"/>
      <w:marRight w:val="0"/>
      <w:marTop w:val="0"/>
      <w:marBottom w:val="0"/>
      <w:divBdr>
        <w:top w:val="none" w:sz="0" w:space="0" w:color="auto"/>
        <w:left w:val="none" w:sz="0" w:space="0" w:color="auto"/>
        <w:bottom w:val="none" w:sz="0" w:space="0" w:color="auto"/>
        <w:right w:val="none" w:sz="0" w:space="0" w:color="auto"/>
      </w:divBdr>
    </w:div>
    <w:div w:id="200254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grover@city.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sussex.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t.lang@city.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oodresearch.org.uk/publications/weakening-uk-food-law-enforcement/" TargetMode="External"/><Relationship Id="rId5" Type="http://schemas.openxmlformats.org/officeDocument/2006/relationships/webSettings" Target="webSettings.xml"/><Relationship Id="rId15" Type="http://schemas.openxmlformats.org/officeDocument/2006/relationships/hyperlink" Target="mailto:e.p.millstone@sussex.ac.uk"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ussex.ac.uk/sp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ussex.ac.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fuonline.com/news/featured-article/uk-food-farming-sector-unites-to-highlight-impact-on-home-grown-p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F444D371-51B8-44CC-B156-F4EAF00BE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Sussex</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Bealing</dc:creator>
  <cp:lastModifiedBy>Fenton, Sinead</cp:lastModifiedBy>
  <cp:revision>3</cp:revision>
  <cp:lastPrinted>2018-03-05T10:50:00Z</cp:lastPrinted>
  <dcterms:created xsi:type="dcterms:W3CDTF">2018-03-07T11:21:00Z</dcterms:created>
  <dcterms:modified xsi:type="dcterms:W3CDTF">2018-03-08T10:18:00Z</dcterms:modified>
</cp:coreProperties>
</file>