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B9D7CB" w14:textId="77777777" w:rsidR="004978CD" w:rsidRPr="00255F2F" w:rsidRDefault="004978CD" w:rsidP="00685D41">
      <w:pPr>
        <w:pStyle w:val="Default"/>
        <w:framePr w:w="4104" w:wrap="auto" w:vAnchor="page" w:hAnchor="page" w:x="502" w:y="15545"/>
        <w:rPr>
          <w:rFonts w:ascii="Arial MT Lt" w:hAnsi="Arial MT Lt" w:cs="Helvetica 55 Roman"/>
          <w:color w:val="221E1F"/>
          <w:sz w:val="18"/>
        </w:rPr>
      </w:pPr>
    </w:p>
    <w:p w14:paraId="284E7F50" w14:textId="7468CEF5" w:rsidR="00554775" w:rsidRPr="00A91FB4" w:rsidRDefault="00454E7E" w:rsidP="00554775">
      <w:pPr>
        <w:pStyle w:val="Default"/>
        <w:rPr>
          <w:rFonts w:ascii="Arial" w:hAnsi="Arial" w:cs="Arial"/>
          <w:color w:val="auto"/>
        </w:rPr>
      </w:pPr>
      <w:r w:rsidRPr="00454E7E">
        <w:rPr>
          <w:rFonts w:ascii="Arial" w:hAnsi="Arial" w:cs="Arial"/>
          <w:noProof/>
          <w:color w:val="auto"/>
          <w:lang w:val="en-GB" w:eastAsia="en-GB"/>
        </w:rPr>
        <w:drawing>
          <wp:inline distT="0" distB="0" distL="0" distR="0" wp14:anchorId="73D877EC" wp14:editId="50B2DA56">
            <wp:extent cx="2806704" cy="495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810819" cy="496026"/>
                    </a:xfrm>
                    <a:prstGeom prst="rect">
                      <a:avLst/>
                    </a:prstGeom>
                  </pic:spPr>
                </pic:pic>
              </a:graphicData>
            </a:graphic>
          </wp:inline>
        </w:drawing>
      </w:r>
    </w:p>
    <w:p w14:paraId="1B05BB63" w14:textId="77777777" w:rsidR="00685D41" w:rsidRPr="00255F2F" w:rsidRDefault="00993EB5" w:rsidP="00685D41">
      <w:pPr>
        <w:pStyle w:val="Default"/>
        <w:framePr w:w="4104" w:wrap="auto" w:vAnchor="page" w:hAnchor="page" w:x="502" w:y="15545"/>
        <w:spacing w:line="360" w:lineRule="auto"/>
        <w:rPr>
          <w:rFonts w:ascii="Arial MT Lt" w:hAnsi="Arial MT Lt" w:cs="Helvetica 55 Roman"/>
          <w:color w:val="221E1F"/>
          <w:sz w:val="18"/>
        </w:rPr>
      </w:pPr>
      <w:r>
        <w:rPr>
          <w:rFonts w:ascii="Arial" w:hAnsi="Arial" w:cs="Helvetica 55 Roman"/>
          <w:noProof/>
          <w:color w:val="221E1F"/>
          <w:lang w:val="en-GB" w:eastAsia="en-GB"/>
        </w:rPr>
        <w:drawing>
          <wp:inline distT="0" distB="0" distL="0" distR="0" wp14:anchorId="0A559C8A" wp14:editId="11631A6D">
            <wp:extent cx="1047750" cy="533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l="42963"/>
                    <a:stretch>
                      <a:fillRect/>
                    </a:stretch>
                  </pic:blipFill>
                  <pic:spPr bwMode="auto">
                    <a:xfrm>
                      <a:off x="0" y="0"/>
                      <a:ext cx="1047750" cy="533400"/>
                    </a:xfrm>
                    <a:prstGeom prst="rect">
                      <a:avLst/>
                    </a:prstGeom>
                    <a:noFill/>
                    <a:ln w="9525">
                      <a:noFill/>
                      <a:miter lim="800000"/>
                      <a:headEnd/>
                      <a:tailEnd/>
                    </a:ln>
                  </pic:spPr>
                </pic:pic>
              </a:graphicData>
            </a:graphic>
          </wp:inline>
        </w:drawing>
      </w:r>
    </w:p>
    <w:p w14:paraId="45F2936A" w14:textId="77777777" w:rsidR="00685D41" w:rsidRPr="0044055B" w:rsidRDefault="00685D41" w:rsidP="00685D41">
      <w:pPr>
        <w:pStyle w:val="Default"/>
        <w:framePr w:w="2515" w:h="358" w:hRule="exact" w:wrap="auto" w:vAnchor="page" w:hAnchor="page" w:x="2422" w:y="16025"/>
        <w:spacing w:line="140" w:lineRule="atLeast"/>
        <w:rPr>
          <w:rFonts w:ascii="Arial MT Lt" w:hAnsi="Arial MT Lt"/>
        </w:rPr>
      </w:pPr>
      <w:r w:rsidRPr="0044055B">
        <w:rPr>
          <w:rFonts w:ascii="Arial MT Lt" w:hAnsi="Arial MT Lt"/>
          <w:color w:val="221E1F"/>
          <w:sz w:val="12"/>
        </w:rPr>
        <w:t xml:space="preserve">A Charity Exempt from Registration under the Second Schedule of the Charities Act 1993 </w:t>
      </w:r>
    </w:p>
    <w:p w14:paraId="789C3344" w14:textId="77777777" w:rsidR="002C7609" w:rsidRDefault="002C7609" w:rsidP="002C7609">
      <w:pPr>
        <w:spacing w:line="276" w:lineRule="auto"/>
        <w:jc w:val="center"/>
        <w:rPr>
          <w:rFonts w:ascii="Arial" w:hAnsi="Arial" w:cs="Arial"/>
          <w:sz w:val="32"/>
          <w:szCs w:val="32"/>
        </w:rPr>
      </w:pPr>
    </w:p>
    <w:p w14:paraId="4EFA9D64" w14:textId="06525D95" w:rsidR="00A90ED3" w:rsidRPr="00515E95" w:rsidRDefault="003F4B20" w:rsidP="00515E95">
      <w:pPr>
        <w:pStyle w:val="Default"/>
        <w:jc w:val="center"/>
        <w:rPr>
          <w:rFonts w:ascii="Arial" w:hAnsi="Arial"/>
          <w:color w:val="000000" w:themeColor="text1"/>
          <w:sz w:val="40"/>
          <w:szCs w:val="40"/>
        </w:rPr>
      </w:pPr>
      <w:r w:rsidRPr="00515E95">
        <w:rPr>
          <w:rFonts w:ascii="Arial" w:hAnsi="Arial"/>
          <w:color w:val="000000" w:themeColor="text1"/>
          <w:sz w:val="40"/>
          <w:szCs w:val="40"/>
        </w:rPr>
        <w:t>News Release</w:t>
      </w:r>
    </w:p>
    <w:p w14:paraId="76D5B2EA" w14:textId="77777777" w:rsidR="00D11552" w:rsidRPr="00BB50D2" w:rsidRDefault="00D11552" w:rsidP="00A90ED3">
      <w:pPr>
        <w:pStyle w:val="Default"/>
        <w:ind w:left="2160" w:firstLine="720"/>
        <w:rPr>
          <w:rFonts w:ascii="Arial" w:hAnsi="Arial"/>
          <w:color w:val="00BCE8"/>
        </w:rPr>
      </w:pPr>
    </w:p>
    <w:p w14:paraId="785ABF74" w14:textId="77777777" w:rsidR="00D97227" w:rsidRPr="00D97227" w:rsidRDefault="00D97227" w:rsidP="00D97227">
      <w:pPr>
        <w:spacing w:before="240" w:after="0"/>
        <w:rPr>
          <w:rFonts w:ascii="Arial" w:hAnsi="Arial" w:cs="Arial"/>
          <w:b/>
          <w:bCs/>
        </w:rPr>
      </w:pPr>
      <w:r w:rsidRPr="00D97227">
        <w:rPr>
          <w:rFonts w:ascii="Arial" w:hAnsi="Arial" w:cs="Arial"/>
          <w:b/>
          <w:bCs/>
        </w:rPr>
        <w:t>18 January 2016</w:t>
      </w:r>
    </w:p>
    <w:p w14:paraId="4C6FC604" w14:textId="77777777" w:rsidR="00D97227" w:rsidRPr="00D97227" w:rsidRDefault="00D97227" w:rsidP="00D97227">
      <w:pPr>
        <w:spacing w:before="240" w:after="0"/>
        <w:jc w:val="center"/>
        <w:rPr>
          <w:rFonts w:ascii="Arial" w:hAnsi="Arial" w:cs="Arial"/>
          <w:b/>
        </w:rPr>
      </w:pPr>
      <w:r w:rsidRPr="00D97227">
        <w:rPr>
          <w:rFonts w:ascii="Arial" w:hAnsi="Arial" w:cs="Arial"/>
          <w:b/>
        </w:rPr>
        <w:t>RETAILERS CONTRIBUTING TO OBESITY CRISIS</w:t>
      </w:r>
    </w:p>
    <w:p w14:paraId="770C7179" w14:textId="77777777" w:rsidR="00D97227" w:rsidRPr="00D97227" w:rsidRDefault="00D97227" w:rsidP="00D97227">
      <w:pPr>
        <w:spacing w:before="240" w:after="0"/>
        <w:jc w:val="center"/>
        <w:rPr>
          <w:rFonts w:ascii="Arial" w:hAnsi="Arial" w:cs="Arial"/>
          <w:b/>
        </w:rPr>
      </w:pPr>
    </w:p>
    <w:p w14:paraId="336A2FFC" w14:textId="77777777" w:rsidR="00D97227" w:rsidRPr="00D97227" w:rsidRDefault="00D97227" w:rsidP="00D97227">
      <w:pPr>
        <w:spacing w:after="160" w:line="259" w:lineRule="auto"/>
        <w:rPr>
          <w:rFonts w:ascii="Arial" w:eastAsia="Calibri" w:hAnsi="Arial" w:cs="Arial"/>
          <w:lang w:val="en-GB"/>
        </w:rPr>
      </w:pPr>
      <w:r w:rsidRPr="00D97227">
        <w:rPr>
          <w:rFonts w:ascii="Arial" w:eastAsia="Calibri" w:hAnsi="Arial" w:cs="Arial"/>
          <w:lang w:val="en-GB"/>
        </w:rPr>
        <w:t>Banning fast food shops near schools won’t be enough to tackle childhood obesity, University of Hertfordshire academics revealed today. With secondary school pupils travelling further afield to buy foods high in fat and sugar, food retailers have a major role to play to encourage them to make healthier food choices.</w:t>
      </w:r>
    </w:p>
    <w:p w14:paraId="0BBFA84C" w14:textId="77777777" w:rsidR="00D97227" w:rsidRPr="00D97227" w:rsidRDefault="00D97227" w:rsidP="00D97227">
      <w:pPr>
        <w:spacing w:after="160" w:line="259" w:lineRule="auto"/>
        <w:rPr>
          <w:rFonts w:ascii="Arial" w:eastAsia="Calibri" w:hAnsi="Arial" w:cs="Arial"/>
          <w:lang w:val="en-GB"/>
        </w:rPr>
      </w:pPr>
      <w:r w:rsidRPr="00D97227">
        <w:rPr>
          <w:rFonts w:ascii="Arial" w:eastAsia="Calibri" w:hAnsi="Arial" w:cs="Arial"/>
          <w:lang w:val="en-GB"/>
        </w:rPr>
        <w:t>The briefing paper – “Within Arm’s Reach: School Neighbourhoods and Young People’s Food Choices” focuses on 11 – 16 year olds across the UK. Produced for the Food Research Collaboration (FRC), it explores factors that inform food and drink purchasing around schools.</w:t>
      </w:r>
    </w:p>
    <w:p w14:paraId="52A8259A" w14:textId="77777777" w:rsidR="00D97227" w:rsidRPr="00D97227" w:rsidRDefault="00D97227" w:rsidP="00D97227">
      <w:pPr>
        <w:spacing w:after="160" w:line="259" w:lineRule="auto"/>
        <w:rPr>
          <w:rFonts w:ascii="Arial" w:eastAsia="Calibri" w:hAnsi="Arial" w:cs="Arial"/>
          <w:lang w:val="en-GB"/>
        </w:rPr>
      </w:pPr>
      <w:r w:rsidRPr="00D97227">
        <w:rPr>
          <w:rFonts w:ascii="Arial" w:eastAsia="Calibri" w:hAnsi="Arial" w:cs="Arial"/>
          <w:lang w:val="en-GB"/>
        </w:rPr>
        <w:t xml:space="preserve">In recent years much has been done to improve school meals and the limited availability of some popular but less healthy foods in secondary schools may have resulted in unintended consequences.  Many young people are turning to fast food outlets, supermarkets and convenience stores outside school to buy their lunch, which can represent 23% of their daily food intake. Peer pressure coupled with perceptions that eating healthily isn’t ‘cool’ may also be contributory factors. </w:t>
      </w:r>
    </w:p>
    <w:p w14:paraId="17B7756A" w14:textId="77777777" w:rsidR="00D97227" w:rsidRPr="00D97227" w:rsidRDefault="00D97227" w:rsidP="00D97227">
      <w:pPr>
        <w:spacing w:after="160" w:line="259" w:lineRule="auto"/>
        <w:rPr>
          <w:rFonts w:ascii="Arial" w:eastAsia="Calibri" w:hAnsi="Arial" w:cs="Arial"/>
          <w:lang w:val="en-GB"/>
        </w:rPr>
      </w:pPr>
      <w:r w:rsidRPr="00D97227">
        <w:rPr>
          <w:rFonts w:ascii="Arial" w:eastAsia="Calibri" w:hAnsi="Arial" w:cs="Arial"/>
          <w:lang w:val="en-GB"/>
        </w:rPr>
        <w:t>Wendy Wills, Lead Researcher for Food and Public Health Research at the University of Hertfordshire, commented: “The food and drink sold on the high street to young people is a source of concern, in terms of the current public health agenda around obesity and nutrition. However, simply banning fast food outlets close to schools will not be enough to bring about change.”</w:t>
      </w:r>
    </w:p>
    <w:p w14:paraId="74202FA2" w14:textId="77777777" w:rsidR="00D97227" w:rsidRPr="00D97227" w:rsidRDefault="00D97227" w:rsidP="00D97227">
      <w:pPr>
        <w:spacing w:after="160" w:line="259" w:lineRule="auto"/>
        <w:rPr>
          <w:rFonts w:ascii="Arial" w:eastAsia="Calibri" w:hAnsi="Arial" w:cs="Arial"/>
          <w:lang w:val="en-GB"/>
        </w:rPr>
      </w:pPr>
      <w:r w:rsidRPr="00D97227">
        <w:rPr>
          <w:rFonts w:ascii="Arial" w:eastAsia="Calibri" w:hAnsi="Arial" w:cs="Arial"/>
          <w:lang w:val="en-GB"/>
        </w:rPr>
        <w:t>“We need a thoughtful but hard hitting approach that engages retailers as well as young people, schools and parents to create a wholesale shift in expectation about what kinds of food and drink we want our children and teenagers to buy. This briefing paper shows that a great deal of thought and action is still required”, continued Wendy.</w:t>
      </w:r>
    </w:p>
    <w:p w14:paraId="11D048AC" w14:textId="77777777" w:rsidR="00D97227" w:rsidRDefault="00D97227" w:rsidP="00D97227">
      <w:pPr>
        <w:spacing w:after="160" w:line="259" w:lineRule="auto"/>
        <w:rPr>
          <w:rFonts w:ascii="Arial" w:eastAsia="Calibri" w:hAnsi="Arial" w:cs="Arial"/>
          <w:lang w:val="en-GB"/>
        </w:rPr>
      </w:pPr>
      <w:r w:rsidRPr="00D97227">
        <w:rPr>
          <w:rFonts w:ascii="Arial" w:eastAsia="Calibri" w:hAnsi="Arial" w:cs="Arial"/>
          <w:lang w:val="en-GB"/>
        </w:rPr>
        <w:t>The researchers involved in this study argue that food outlets could offer ‘supersize’ promotions for healthy foods and not just for items such as crisps and sugary drinks to help drive down obesity.  School cafeterias should provide a better dining experience - a crucial factor in improving young people’s food purchasing habits. Their need to be with friends is of vital importance and cafeterias need to do more to be seen as an acceptable social space, whilst promoting ‘tasty’ rather than ‘healthy’ food.</w:t>
      </w:r>
    </w:p>
    <w:p w14:paraId="50A7DDFF" w14:textId="77777777" w:rsidR="00D97227" w:rsidRPr="00D97227" w:rsidRDefault="00D97227" w:rsidP="00D97227">
      <w:pPr>
        <w:spacing w:after="160" w:line="259" w:lineRule="auto"/>
        <w:rPr>
          <w:rFonts w:ascii="Arial" w:eastAsia="Calibri" w:hAnsi="Arial" w:cs="Arial"/>
          <w:lang w:val="en-GB"/>
        </w:rPr>
      </w:pPr>
      <w:r w:rsidRPr="00645E03">
        <w:rPr>
          <w:rFonts w:ascii="Arial" w:eastAsia="Calibri" w:hAnsi="Arial" w:cs="Arial"/>
          <w:lang w:val="en-GB"/>
        </w:rPr>
        <w:t>Tim Lang, Professor of Food Policy at City University London and Chair of the FRC, said: “When children go to school, one might think that they’d be safe from food pressures. This briefing paper shows</w:t>
      </w:r>
      <w:r>
        <w:rPr>
          <w:rFonts w:ascii="Arial" w:eastAsia="Calibri" w:hAnsi="Arial" w:cs="Arial"/>
          <w:lang w:val="en-GB"/>
        </w:rPr>
        <w:t xml:space="preserve"> this is not quite true. </w:t>
      </w:r>
      <w:r w:rsidRPr="00D97227">
        <w:rPr>
          <w:rFonts w:ascii="Arial" w:eastAsia="Calibri" w:hAnsi="Arial" w:cs="Arial"/>
          <w:lang w:val="en-GB"/>
        </w:rPr>
        <w:t xml:space="preserve">While the Prime Minister wrestles with what to do about children being targeted by sugary drinks, we suggest that any strategy he comes up with </w:t>
      </w:r>
      <w:r w:rsidRPr="00D97227">
        <w:rPr>
          <w:rFonts w:ascii="Arial" w:eastAsia="Calibri" w:hAnsi="Arial" w:cs="Arial"/>
          <w:lang w:val="en-GB"/>
        </w:rPr>
        <w:lastRenderedPageBreak/>
        <w:t>simply must build a safe and healthy food environment for kids. If this was drugs, there’d be a scandal!”</w:t>
      </w:r>
    </w:p>
    <w:p w14:paraId="52FC65FD" w14:textId="77777777" w:rsidR="00D97227" w:rsidRPr="00D97227" w:rsidRDefault="00D97227" w:rsidP="00D97227">
      <w:pPr>
        <w:spacing w:line="360" w:lineRule="auto"/>
        <w:rPr>
          <w:rFonts w:ascii="Arial" w:hAnsi="Arial" w:cs="Arial"/>
          <w:b/>
          <w:bCs/>
        </w:rPr>
      </w:pPr>
      <w:r w:rsidRPr="00D97227">
        <w:rPr>
          <w:rFonts w:ascii="Arial" w:hAnsi="Arial" w:cs="Arial"/>
          <w:b/>
          <w:bCs/>
        </w:rPr>
        <w:t>ENDS</w:t>
      </w:r>
    </w:p>
    <w:p w14:paraId="37E17965" w14:textId="77777777" w:rsidR="00D97227" w:rsidRPr="00D97227" w:rsidRDefault="00D97227" w:rsidP="00D97227">
      <w:pPr>
        <w:spacing w:line="360" w:lineRule="auto"/>
        <w:rPr>
          <w:rFonts w:ascii="Arial" w:hAnsi="Arial" w:cs="Arial"/>
          <w:b/>
          <w:bCs/>
        </w:rPr>
      </w:pPr>
      <w:r w:rsidRPr="00D97227">
        <w:rPr>
          <w:rFonts w:ascii="Arial" w:hAnsi="Arial" w:cs="Arial"/>
          <w:b/>
          <w:bCs/>
        </w:rPr>
        <w:t>For more information/images contact Manjari Shah, University of Hertfordshire Press Office on 01707 286476 / 285770, Email: news</w:t>
      </w:r>
      <w:r w:rsidRPr="00D97227">
        <w:rPr>
          <w:rFonts w:ascii="Arial" w:hAnsi="Arial" w:cs="Arial"/>
          <w:b/>
        </w:rPr>
        <w:t>@herts.ac.uk</w:t>
      </w:r>
    </w:p>
    <w:p w14:paraId="5FFAF367" w14:textId="77777777" w:rsidR="00D97227" w:rsidRPr="00D97227" w:rsidRDefault="00D97227" w:rsidP="00D97227">
      <w:pPr>
        <w:spacing w:line="360" w:lineRule="auto"/>
        <w:ind w:right="283"/>
        <w:rPr>
          <w:rFonts w:ascii="Arial" w:hAnsi="Arial" w:cs="Arial"/>
          <w:b/>
          <w:bCs/>
        </w:rPr>
      </w:pPr>
      <w:r w:rsidRPr="00D97227">
        <w:rPr>
          <w:rFonts w:ascii="Arial" w:hAnsi="Arial" w:cs="Arial"/>
          <w:b/>
          <w:bCs/>
        </w:rPr>
        <w:t>Notes to Editors</w:t>
      </w:r>
    </w:p>
    <w:p w14:paraId="5121BE43" w14:textId="168CF81E" w:rsidR="002F1414" w:rsidRPr="002F1414" w:rsidRDefault="00D97227" w:rsidP="002F1414">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sz w:val="20"/>
          <w:szCs w:val="20"/>
          <w:lang w:eastAsia="en-GB"/>
        </w:rPr>
        <w:t xml:space="preserve">To view the briefing paper – “Within Arm’s Reach: School </w:t>
      </w:r>
      <w:proofErr w:type="spellStart"/>
      <w:r w:rsidRPr="00D97227">
        <w:rPr>
          <w:rFonts w:ascii="Arial" w:eastAsiaTheme="minorHAnsi" w:hAnsi="Arial" w:cs="Arial"/>
          <w:i/>
          <w:iCs/>
          <w:sz w:val="20"/>
          <w:szCs w:val="20"/>
          <w:lang w:eastAsia="en-GB"/>
        </w:rPr>
        <w:t>Neighbourhoods</w:t>
      </w:r>
      <w:proofErr w:type="spellEnd"/>
      <w:r w:rsidRPr="00D97227">
        <w:rPr>
          <w:rFonts w:ascii="Arial" w:eastAsiaTheme="minorHAnsi" w:hAnsi="Arial" w:cs="Arial"/>
          <w:i/>
          <w:iCs/>
          <w:sz w:val="20"/>
          <w:szCs w:val="20"/>
          <w:lang w:eastAsia="en-GB"/>
        </w:rPr>
        <w:t xml:space="preserve"> and Young People’s Food Choices” – visit:</w:t>
      </w:r>
      <w:r w:rsidR="002F1414" w:rsidRPr="002F1414">
        <w:rPr>
          <w:rFonts w:ascii="Calibri" w:hAnsi="Calibri" w:cs="Calibri"/>
          <w:color w:val="000000"/>
          <w:sz w:val="27"/>
          <w:szCs w:val="27"/>
          <w:lang w:val="en-GB" w:eastAsia="en-GB"/>
        </w:rPr>
        <w:t xml:space="preserve"> </w:t>
      </w:r>
      <w:hyperlink r:id="rId8" w:history="1">
        <w:r w:rsidR="002F1414" w:rsidRPr="002F1414">
          <w:rPr>
            <w:rStyle w:val="Hyperlink"/>
            <w:rFonts w:ascii="Arial" w:eastAsiaTheme="minorHAnsi" w:hAnsi="Arial" w:cs="Arial"/>
            <w:i/>
            <w:iCs/>
            <w:sz w:val="20"/>
            <w:szCs w:val="20"/>
            <w:lang w:val="en-GB" w:eastAsia="en-GB"/>
          </w:rPr>
          <w:t>http://foodresearch.org.uk/within-arms-reach-school-neighbourhoods-and-young-peoples-food-choices/</w:t>
        </w:r>
      </w:hyperlink>
    </w:p>
    <w:p w14:paraId="1785EFED" w14:textId="77777777" w:rsidR="00D97227" w:rsidRPr="00D97227" w:rsidRDefault="00D97227" w:rsidP="00D97227">
      <w:pPr>
        <w:spacing w:after="0" w:line="276" w:lineRule="auto"/>
        <w:ind w:left="510"/>
        <w:contextualSpacing/>
        <w:rPr>
          <w:rFonts w:ascii="Arial" w:eastAsiaTheme="minorHAnsi" w:hAnsi="Arial" w:cs="Arial"/>
          <w:i/>
          <w:iCs/>
          <w:sz w:val="20"/>
          <w:szCs w:val="20"/>
          <w:lang w:val="en-GB" w:eastAsia="en-GB"/>
        </w:rPr>
      </w:pPr>
      <w:bookmarkStart w:id="0" w:name="_GoBack"/>
      <w:bookmarkEnd w:id="0"/>
    </w:p>
    <w:p w14:paraId="08520854"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sz w:val="20"/>
          <w:szCs w:val="20"/>
          <w:lang w:val="en-GB" w:eastAsia="en-GB"/>
        </w:rPr>
        <w:t>Wendy Wills, Lead Researcher for Food and Public Health Research at the University of Hertfordshire has also produced a video on the subject of young people and food and drink purchasing: https://www.youtube.com/watch?v=mHqYzixQZrA</w:t>
      </w:r>
    </w:p>
    <w:p w14:paraId="4E163EF4" w14:textId="77777777" w:rsidR="00D97227" w:rsidRPr="00D97227" w:rsidRDefault="00D97227" w:rsidP="00D97227">
      <w:pPr>
        <w:jc w:val="both"/>
        <w:rPr>
          <w:rFonts w:ascii="Arial" w:hAnsi="Arial" w:cs="Arial"/>
          <w:i/>
          <w:iCs/>
          <w:sz w:val="20"/>
          <w:szCs w:val="20"/>
        </w:rPr>
      </w:pPr>
    </w:p>
    <w:p w14:paraId="4679F892" w14:textId="77777777" w:rsidR="00D97227" w:rsidRPr="00D97227" w:rsidRDefault="00D97227" w:rsidP="00D97227">
      <w:pPr>
        <w:jc w:val="both"/>
        <w:rPr>
          <w:rFonts w:ascii="Arial" w:hAnsi="Arial" w:cs="Arial"/>
          <w:i/>
          <w:iCs/>
          <w:sz w:val="20"/>
          <w:szCs w:val="20"/>
          <w:lang w:val="en-GB" w:eastAsia="en-GB"/>
        </w:rPr>
      </w:pPr>
      <w:r w:rsidRPr="00D97227">
        <w:rPr>
          <w:rFonts w:ascii="Arial" w:hAnsi="Arial" w:cs="Arial"/>
          <w:i/>
          <w:iCs/>
          <w:sz w:val="20"/>
          <w:szCs w:val="20"/>
        </w:rPr>
        <w:t>About the University of Hertfordshire:</w:t>
      </w:r>
    </w:p>
    <w:p w14:paraId="5041E263"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sz w:val="20"/>
          <w:szCs w:val="20"/>
          <w:lang w:val="en-GB" w:eastAsia="en-GB"/>
        </w:rPr>
        <w:t xml:space="preserve">The University’s vision is to be internationally renowned as the UK’s leading business-facing university.  It is innovative and enterprising and challenges individuals and organisations to excel.  </w:t>
      </w:r>
    </w:p>
    <w:p w14:paraId="0A96D8A5" w14:textId="77777777" w:rsidR="00D97227" w:rsidRPr="00D97227" w:rsidRDefault="00D97227" w:rsidP="00D97227">
      <w:pPr>
        <w:spacing w:after="0" w:line="276" w:lineRule="auto"/>
        <w:ind w:left="510"/>
        <w:contextualSpacing/>
        <w:rPr>
          <w:rFonts w:ascii="Arial" w:eastAsiaTheme="minorHAnsi" w:hAnsi="Arial" w:cs="Arial"/>
          <w:i/>
          <w:iCs/>
          <w:sz w:val="20"/>
          <w:szCs w:val="20"/>
          <w:lang w:val="en-GB" w:eastAsia="en-GB"/>
        </w:rPr>
      </w:pPr>
    </w:p>
    <w:p w14:paraId="5801DBE6"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color w:val="000000"/>
          <w:sz w:val="20"/>
          <w:szCs w:val="20"/>
          <w:lang w:eastAsia="en-GB"/>
        </w:rPr>
        <w:t>The University of Hertfordshire is one of the region’s largest employers with over 2,700 staff and a turnover of over £238 million.</w:t>
      </w:r>
    </w:p>
    <w:p w14:paraId="5A5DFBF7" w14:textId="77777777" w:rsidR="00D97227" w:rsidRPr="00D97227" w:rsidRDefault="00D97227" w:rsidP="00D97227">
      <w:pPr>
        <w:spacing w:line="276" w:lineRule="auto"/>
        <w:ind w:left="720"/>
        <w:contextualSpacing/>
        <w:rPr>
          <w:rFonts w:ascii="Arial" w:eastAsiaTheme="minorHAnsi" w:hAnsi="Arial" w:cs="Arial"/>
          <w:i/>
          <w:iCs/>
          <w:color w:val="000000"/>
          <w:sz w:val="20"/>
          <w:szCs w:val="20"/>
          <w:lang w:eastAsia="en-GB"/>
        </w:rPr>
      </w:pPr>
    </w:p>
    <w:p w14:paraId="629824C5"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color w:val="000000"/>
          <w:sz w:val="20"/>
          <w:szCs w:val="20"/>
          <w:lang w:eastAsia="en-GB"/>
        </w:rPr>
        <w:t>With a student community of over 25,300 including more than 2,800 overseas students from 100 different countries, the University has a global network of over 195,000 alumni. </w:t>
      </w:r>
    </w:p>
    <w:p w14:paraId="01C784F1" w14:textId="77777777" w:rsidR="00D97227" w:rsidRPr="00D97227" w:rsidRDefault="00D97227" w:rsidP="00D97227">
      <w:pPr>
        <w:spacing w:line="276" w:lineRule="auto"/>
        <w:ind w:left="720"/>
        <w:contextualSpacing/>
        <w:rPr>
          <w:rFonts w:ascii="Arial" w:eastAsiaTheme="minorHAnsi" w:hAnsi="Arial" w:cs="Arial"/>
          <w:i/>
          <w:iCs/>
          <w:sz w:val="20"/>
          <w:szCs w:val="20"/>
          <w:lang w:val="en-GB" w:eastAsia="en-GB"/>
        </w:rPr>
      </w:pPr>
    </w:p>
    <w:p w14:paraId="5E43D030"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color w:val="000000"/>
          <w:sz w:val="20"/>
          <w:szCs w:val="20"/>
          <w:lang w:eastAsia="en-GB"/>
        </w:rPr>
        <w:t>It is also one of the top 100 universities in the world under 50 years old, according to the new Times Higher Education 100 under 50 rankings 2015.</w:t>
      </w:r>
    </w:p>
    <w:p w14:paraId="6A96BBF2" w14:textId="77777777" w:rsidR="00D97227" w:rsidRPr="00D97227" w:rsidRDefault="00D97227" w:rsidP="00D97227">
      <w:pPr>
        <w:spacing w:line="276" w:lineRule="auto"/>
        <w:ind w:left="720"/>
        <w:contextualSpacing/>
        <w:rPr>
          <w:rFonts w:ascii="Arial" w:eastAsiaTheme="minorHAnsi" w:hAnsi="Arial" w:cs="Arial"/>
          <w:i/>
          <w:iCs/>
          <w:color w:val="000000"/>
          <w:sz w:val="20"/>
          <w:szCs w:val="20"/>
          <w:lang w:eastAsia="en-GB"/>
        </w:rPr>
      </w:pPr>
    </w:p>
    <w:p w14:paraId="33B52315"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color w:val="000000"/>
          <w:sz w:val="20"/>
          <w:szCs w:val="20"/>
          <w:lang w:eastAsia="en-GB"/>
        </w:rPr>
        <w:t>For more information, please visit </w:t>
      </w:r>
      <w:hyperlink r:id="rId9" w:history="1">
        <w:r w:rsidRPr="00D97227">
          <w:rPr>
            <w:rFonts w:ascii="Arial" w:eastAsiaTheme="minorHAnsi" w:hAnsi="Arial" w:cs="Arial"/>
            <w:i/>
            <w:iCs/>
            <w:color w:val="0000FF"/>
            <w:sz w:val="20"/>
            <w:szCs w:val="20"/>
            <w:u w:val="single"/>
            <w:lang w:eastAsia="en-GB"/>
          </w:rPr>
          <w:t>www.herts.ac.uk</w:t>
        </w:r>
      </w:hyperlink>
      <w:r w:rsidRPr="00D97227">
        <w:rPr>
          <w:rFonts w:ascii="Arial" w:eastAsiaTheme="minorHAnsi" w:hAnsi="Arial" w:cs="Arial"/>
          <w:i/>
          <w:iCs/>
          <w:color w:val="0000FF"/>
          <w:sz w:val="20"/>
          <w:szCs w:val="20"/>
          <w:u w:val="single"/>
          <w:lang w:eastAsia="en-GB"/>
        </w:rPr>
        <w:t xml:space="preserve"> </w:t>
      </w:r>
    </w:p>
    <w:p w14:paraId="470FB33F" w14:textId="77777777" w:rsidR="00D97227" w:rsidRPr="00D97227" w:rsidRDefault="00D97227" w:rsidP="00D97227">
      <w:pPr>
        <w:spacing w:after="0"/>
        <w:ind w:left="150"/>
        <w:rPr>
          <w:rFonts w:ascii="Arial" w:hAnsi="Arial" w:cs="Arial"/>
          <w:i/>
          <w:iCs/>
          <w:sz w:val="20"/>
          <w:szCs w:val="20"/>
          <w:lang w:val="en-GB" w:eastAsia="en-GB"/>
        </w:rPr>
      </w:pPr>
    </w:p>
    <w:p w14:paraId="405C50D4" w14:textId="77777777" w:rsidR="00D97227" w:rsidRPr="00D97227" w:rsidRDefault="00D97227" w:rsidP="00D97227">
      <w:pPr>
        <w:spacing w:after="0"/>
        <w:ind w:left="150"/>
        <w:rPr>
          <w:rFonts w:ascii="Arial" w:hAnsi="Arial" w:cs="Arial"/>
          <w:i/>
          <w:iCs/>
          <w:sz w:val="20"/>
          <w:szCs w:val="20"/>
          <w:lang w:val="en-GB" w:eastAsia="en-GB"/>
        </w:rPr>
      </w:pPr>
      <w:r w:rsidRPr="00D97227">
        <w:rPr>
          <w:rFonts w:ascii="Arial" w:hAnsi="Arial" w:cs="Arial"/>
          <w:i/>
          <w:iCs/>
          <w:sz w:val="20"/>
          <w:szCs w:val="20"/>
          <w:lang w:val="en-GB" w:eastAsia="en-GB"/>
        </w:rPr>
        <w:t>About the Food Research Collaboration:</w:t>
      </w:r>
    </w:p>
    <w:p w14:paraId="30959FCC" w14:textId="77777777" w:rsidR="00D97227" w:rsidRPr="00D97227" w:rsidRDefault="00D97227" w:rsidP="00D97227">
      <w:pPr>
        <w:spacing w:line="276" w:lineRule="auto"/>
        <w:ind w:left="720"/>
        <w:contextualSpacing/>
        <w:rPr>
          <w:rFonts w:ascii="Arial" w:eastAsiaTheme="minorHAnsi" w:hAnsi="Arial" w:cs="Arial"/>
          <w:i/>
          <w:iCs/>
          <w:sz w:val="20"/>
          <w:szCs w:val="20"/>
          <w:lang w:val="en-GB" w:eastAsia="en-GB"/>
        </w:rPr>
      </w:pPr>
    </w:p>
    <w:p w14:paraId="77201339"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eastAsia="en-GB"/>
        </w:rPr>
      </w:pPr>
      <w:r w:rsidRPr="00D97227">
        <w:rPr>
          <w:rFonts w:ascii="Arial" w:eastAsiaTheme="minorHAnsi" w:hAnsi="Arial" w:cs="Arial"/>
          <w:i/>
          <w:iCs/>
          <w:sz w:val="20"/>
          <w:szCs w:val="20"/>
          <w:lang w:val="en-GB" w:eastAsia="en-GB"/>
        </w:rPr>
        <w:t xml:space="preserve">The Food Research Collaboration is a project funded by the </w:t>
      </w:r>
      <w:proofErr w:type="spellStart"/>
      <w:r w:rsidRPr="00D97227">
        <w:rPr>
          <w:rFonts w:ascii="Arial" w:eastAsiaTheme="minorHAnsi" w:hAnsi="Arial" w:cs="Arial"/>
          <w:i/>
          <w:iCs/>
          <w:sz w:val="20"/>
          <w:szCs w:val="20"/>
          <w:lang w:eastAsia="en-GB"/>
        </w:rPr>
        <w:t>Esmée</w:t>
      </w:r>
      <w:proofErr w:type="spellEnd"/>
      <w:r w:rsidRPr="00D97227">
        <w:rPr>
          <w:rFonts w:ascii="Arial" w:eastAsiaTheme="minorHAnsi" w:hAnsi="Arial" w:cs="Arial"/>
          <w:i/>
          <w:iCs/>
          <w:sz w:val="20"/>
          <w:szCs w:val="20"/>
          <w:lang w:eastAsia="en-GB"/>
        </w:rPr>
        <w:t xml:space="preserve"> Fairbairn Foundation, to facilitate joint working by academics and civil society </w:t>
      </w:r>
      <w:proofErr w:type="spellStart"/>
      <w:r w:rsidRPr="00D97227">
        <w:rPr>
          <w:rFonts w:ascii="Arial" w:eastAsiaTheme="minorHAnsi" w:hAnsi="Arial" w:cs="Arial"/>
          <w:i/>
          <w:iCs/>
          <w:sz w:val="20"/>
          <w:szCs w:val="20"/>
          <w:lang w:eastAsia="en-GB"/>
        </w:rPr>
        <w:t>organisations</w:t>
      </w:r>
      <w:proofErr w:type="spellEnd"/>
      <w:r w:rsidRPr="00D97227">
        <w:rPr>
          <w:rFonts w:ascii="Arial" w:eastAsiaTheme="minorHAnsi" w:hAnsi="Arial" w:cs="Arial"/>
          <w:i/>
          <w:iCs/>
          <w:sz w:val="20"/>
          <w:szCs w:val="20"/>
          <w:lang w:eastAsia="en-GB"/>
        </w:rPr>
        <w:t xml:space="preserve"> to improve the UK food system. The FRC is chaired by Professor Tim Lang of the Centre for Food Policy at City University London.</w:t>
      </w:r>
    </w:p>
    <w:p w14:paraId="248E61CD" w14:textId="77777777" w:rsidR="00D97227" w:rsidRPr="00D97227" w:rsidRDefault="00D97227" w:rsidP="00D97227">
      <w:pPr>
        <w:spacing w:after="0" w:line="276" w:lineRule="auto"/>
        <w:ind w:left="510"/>
        <w:contextualSpacing/>
        <w:rPr>
          <w:rFonts w:ascii="Arial" w:eastAsiaTheme="minorHAnsi" w:hAnsi="Arial" w:cs="Arial"/>
          <w:i/>
          <w:iCs/>
          <w:sz w:val="20"/>
          <w:szCs w:val="20"/>
          <w:lang w:val="en-GB" w:eastAsia="en-GB"/>
        </w:rPr>
      </w:pPr>
    </w:p>
    <w:p w14:paraId="054AC520"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sz w:val="20"/>
          <w:szCs w:val="20"/>
          <w:lang w:val="en-GB" w:eastAsia="en-GB"/>
        </w:rPr>
        <w:t>Food Research Collaboration Briefing Papers present reviews of evidence on key food issues identified by and relevant to the FRC membership of academics and CSOs.</w:t>
      </w:r>
    </w:p>
    <w:p w14:paraId="20791353" w14:textId="77777777" w:rsidR="00D97227" w:rsidRPr="00D97227" w:rsidRDefault="00D97227" w:rsidP="00D97227">
      <w:pPr>
        <w:spacing w:line="276" w:lineRule="auto"/>
        <w:ind w:left="720"/>
        <w:contextualSpacing/>
        <w:rPr>
          <w:rFonts w:ascii="Arial" w:eastAsiaTheme="minorHAnsi" w:hAnsi="Arial" w:cs="Arial"/>
          <w:i/>
          <w:iCs/>
          <w:sz w:val="20"/>
          <w:szCs w:val="20"/>
          <w:lang w:val="en-GB" w:eastAsia="en-GB"/>
        </w:rPr>
      </w:pPr>
    </w:p>
    <w:p w14:paraId="5FE7218E" w14:textId="77777777" w:rsidR="00D97227" w:rsidRPr="00D97227" w:rsidRDefault="00D97227" w:rsidP="00D97227">
      <w:pPr>
        <w:numPr>
          <w:ilvl w:val="0"/>
          <w:numId w:val="3"/>
        </w:numPr>
        <w:spacing w:after="0" w:line="276" w:lineRule="auto"/>
        <w:ind w:left="510"/>
        <w:contextualSpacing/>
        <w:rPr>
          <w:rFonts w:ascii="Arial" w:eastAsiaTheme="minorHAnsi" w:hAnsi="Arial" w:cs="Arial"/>
          <w:i/>
          <w:iCs/>
          <w:sz w:val="20"/>
          <w:szCs w:val="20"/>
          <w:lang w:val="en-GB" w:eastAsia="en-GB"/>
        </w:rPr>
      </w:pPr>
      <w:r w:rsidRPr="00D97227">
        <w:rPr>
          <w:rFonts w:ascii="Arial" w:eastAsiaTheme="minorHAnsi" w:hAnsi="Arial" w:cs="Arial"/>
          <w:i/>
          <w:iCs/>
          <w:sz w:val="20"/>
          <w:szCs w:val="20"/>
          <w:lang w:val="en-GB" w:eastAsia="en-GB"/>
        </w:rPr>
        <w:t xml:space="preserve">For more information, please visit </w:t>
      </w:r>
      <w:hyperlink r:id="rId10" w:history="1">
        <w:r w:rsidRPr="00D97227">
          <w:rPr>
            <w:rFonts w:ascii="Arial" w:eastAsiaTheme="minorHAnsi" w:hAnsi="Arial" w:cs="Arial"/>
            <w:i/>
            <w:iCs/>
            <w:color w:val="0000FF"/>
            <w:sz w:val="20"/>
            <w:szCs w:val="20"/>
            <w:u w:val="single"/>
            <w:lang w:val="en-GB" w:eastAsia="en-GB"/>
          </w:rPr>
          <w:t>www.foodresearch.org.uk</w:t>
        </w:r>
      </w:hyperlink>
    </w:p>
    <w:p w14:paraId="7E80BAD5" w14:textId="1E56017A" w:rsidR="00D97227" w:rsidRPr="00D97227" w:rsidRDefault="00D97227" w:rsidP="00D97227">
      <w:pPr>
        <w:spacing w:after="160" w:line="259" w:lineRule="auto"/>
        <w:rPr>
          <w:rFonts w:ascii="Arial" w:eastAsia="Calibri" w:hAnsi="Arial" w:cs="Arial"/>
          <w:lang w:val="en-GB"/>
        </w:rPr>
      </w:pPr>
    </w:p>
    <w:p w14:paraId="2557FA4B" w14:textId="77777777" w:rsidR="00BB50D2" w:rsidRPr="00A90ED3" w:rsidRDefault="00BB50D2" w:rsidP="00BB50D2">
      <w:pPr>
        <w:spacing w:before="240" w:after="0"/>
      </w:pPr>
    </w:p>
    <w:sectPr w:rsidR="00BB50D2" w:rsidRPr="00A90ED3" w:rsidSect="008337A3">
      <w:pgSz w:w="11905" w:h="16837"/>
      <w:pgMar w:top="1021" w:right="900" w:bottom="1560" w:left="9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65 Medium">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MT Lt">
    <w:altName w:val="Cambria"/>
    <w:charset w:val="00"/>
    <w:family w:val="auto"/>
    <w:pitch w:val="variable"/>
    <w:sig w:usb0="00000003" w:usb1="00000000" w:usb2="00000000" w:usb3="00000000" w:csb0="00000001" w:csb1="00000000"/>
  </w:font>
  <w:font w:name="Helvetica 55 Roman">
    <w:altName w:val="Geneva"/>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A03BE"/>
    <w:multiLevelType w:val="hybridMultilevel"/>
    <w:tmpl w:val="E7B0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0775B"/>
    <w:multiLevelType w:val="hybridMultilevel"/>
    <w:tmpl w:val="A2DAEE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 w15:restartNumberingAfterBreak="0">
    <w:nsid w:val="390061A0"/>
    <w:multiLevelType w:val="hybridMultilevel"/>
    <w:tmpl w:val="3F40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4770AD"/>
    <w:multiLevelType w:val="hybridMultilevel"/>
    <w:tmpl w:val="633ED1C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 w15:restartNumberingAfterBreak="0">
    <w:nsid w:val="3B863CD9"/>
    <w:multiLevelType w:val="hybridMultilevel"/>
    <w:tmpl w:val="E1BEB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CE2370"/>
    <w:multiLevelType w:val="hybridMultilevel"/>
    <w:tmpl w:val="E0245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5"/>
  </w:num>
  <w:num w:numId="6">
    <w:abstractNumId w:val="2"/>
  </w:num>
  <w:num w:numId="7">
    <w:abstractNumId w:val="2"/>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898"/>
    <w:rsid w:val="0003199F"/>
    <w:rsid w:val="00083961"/>
    <w:rsid w:val="00105B54"/>
    <w:rsid w:val="001301B0"/>
    <w:rsid w:val="00133B59"/>
    <w:rsid w:val="00141200"/>
    <w:rsid w:val="00144D57"/>
    <w:rsid w:val="00165606"/>
    <w:rsid w:val="00196B6A"/>
    <w:rsid w:val="001B4FD1"/>
    <w:rsid w:val="001B66EF"/>
    <w:rsid w:val="001E3304"/>
    <w:rsid w:val="001E3E0B"/>
    <w:rsid w:val="00234518"/>
    <w:rsid w:val="00236D6B"/>
    <w:rsid w:val="002478A7"/>
    <w:rsid w:val="0025654B"/>
    <w:rsid w:val="00270C1B"/>
    <w:rsid w:val="002749A9"/>
    <w:rsid w:val="00284981"/>
    <w:rsid w:val="00291C98"/>
    <w:rsid w:val="002C7609"/>
    <w:rsid w:val="002D1864"/>
    <w:rsid w:val="002D2AB1"/>
    <w:rsid w:val="002F1414"/>
    <w:rsid w:val="0032290B"/>
    <w:rsid w:val="00346485"/>
    <w:rsid w:val="00366377"/>
    <w:rsid w:val="00377994"/>
    <w:rsid w:val="003B4898"/>
    <w:rsid w:val="003C0CBE"/>
    <w:rsid w:val="003F4B20"/>
    <w:rsid w:val="004421F4"/>
    <w:rsid w:val="004426D7"/>
    <w:rsid w:val="00443D96"/>
    <w:rsid w:val="00444FA2"/>
    <w:rsid w:val="00454E7E"/>
    <w:rsid w:val="00492DEE"/>
    <w:rsid w:val="004940D6"/>
    <w:rsid w:val="004978CD"/>
    <w:rsid w:val="004A757A"/>
    <w:rsid w:val="004A773C"/>
    <w:rsid w:val="004F2100"/>
    <w:rsid w:val="00515E95"/>
    <w:rsid w:val="00551BEC"/>
    <w:rsid w:val="00554775"/>
    <w:rsid w:val="00554CEC"/>
    <w:rsid w:val="005B7370"/>
    <w:rsid w:val="005C0D16"/>
    <w:rsid w:val="00611231"/>
    <w:rsid w:val="00635B4C"/>
    <w:rsid w:val="00640E3C"/>
    <w:rsid w:val="00647E63"/>
    <w:rsid w:val="00660176"/>
    <w:rsid w:val="0067594E"/>
    <w:rsid w:val="00683063"/>
    <w:rsid w:val="00685D41"/>
    <w:rsid w:val="006D2BB5"/>
    <w:rsid w:val="006F0B9A"/>
    <w:rsid w:val="00734E87"/>
    <w:rsid w:val="00767CFE"/>
    <w:rsid w:val="007737A1"/>
    <w:rsid w:val="00793E73"/>
    <w:rsid w:val="007B2E89"/>
    <w:rsid w:val="00803B57"/>
    <w:rsid w:val="00815790"/>
    <w:rsid w:val="008337A3"/>
    <w:rsid w:val="00836025"/>
    <w:rsid w:val="00837D83"/>
    <w:rsid w:val="00875664"/>
    <w:rsid w:val="008B3438"/>
    <w:rsid w:val="008F6D64"/>
    <w:rsid w:val="00937A26"/>
    <w:rsid w:val="00990EA6"/>
    <w:rsid w:val="00993EB5"/>
    <w:rsid w:val="009B529F"/>
    <w:rsid w:val="009C5666"/>
    <w:rsid w:val="009C7258"/>
    <w:rsid w:val="009D76B6"/>
    <w:rsid w:val="009E514C"/>
    <w:rsid w:val="00A14499"/>
    <w:rsid w:val="00A2031B"/>
    <w:rsid w:val="00A24049"/>
    <w:rsid w:val="00A358A4"/>
    <w:rsid w:val="00A50568"/>
    <w:rsid w:val="00A62D10"/>
    <w:rsid w:val="00A90ED3"/>
    <w:rsid w:val="00A91FB4"/>
    <w:rsid w:val="00AF0CC8"/>
    <w:rsid w:val="00B02FE0"/>
    <w:rsid w:val="00B038EE"/>
    <w:rsid w:val="00B96216"/>
    <w:rsid w:val="00BA7397"/>
    <w:rsid w:val="00BB50D2"/>
    <w:rsid w:val="00C13678"/>
    <w:rsid w:val="00C14926"/>
    <w:rsid w:val="00C266DA"/>
    <w:rsid w:val="00C350C9"/>
    <w:rsid w:val="00C45768"/>
    <w:rsid w:val="00C635B0"/>
    <w:rsid w:val="00C64E27"/>
    <w:rsid w:val="00CE1045"/>
    <w:rsid w:val="00D11552"/>
    <w:rsid w:val="00D255B6"/>
    <w:rsid w:val="00D52ACB"/>
    <w:rsid w:val="00D56F74"/>
    <w:rsid w:val="00D65594"/>
    <w:rsid w:val="00D87D1E"/>
    <w:rsid w:val="00D97227"/>
    <w:rsid w:val="00DB3072"/>
    <w:rsid w:val="00DD492D"/>
    <w:rsid w:val="00DD6FD2"/>
    <w:rsid w:val="00E1063F"/>
    <w:rsid w:val="00E33352"/>
    <w:rsid w:val="00E512B2"/>
    <w:rsid w:val="00E52C10"/>
    <w:rsid w:val="00EF2213"/>
    <w:rsid w:val="00F05C91"/>
    <w:rsid w:val="00F27B2E"/>
    <w:rsid w:val="00F655B3"/>
    <w:rsid w:val="00F8264E"/>
    <w:rsid w:val="00FC5F5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084155"/>
  <w15:docId w15:val="{C6E0E16E-3EBE-45E0-A160-8F1280E8E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4E"/>
    <w:pPr>
      <w:spacing w:after="200"/>
    </w:pPr>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7E084E"/>
    <w:pPr>
      <w:widowControl w:val="0"/>
      <w:autoSpaceDE w:val="0"/>
      <w:autoSpaceDN w:val="0"/>
      <w:adjustRightInd w:val="0"/>
    </w:pPr>
    <w:rPr>
      <w:rFonts w:ascii="Helvetica 65 Medium" w:hAnsi="Helvetica 65 Medium" w:cs="Helvetica 65 Medium"/>
      <w:color w:val="000000"/>
      <w:sz w:val="24"/>
      <w:szCs w:val="24"/>
      <w:lang w:val="en-US" w:eastAsia="en-US"/>
    </w:rPr>
  </w:style>
  <w:style w:type="paragraph" w:customStyle="1" w:styleId="CM1">
    <w:name w:val="CM1"/>
    <w:basedOn w:val="Default"/>
    <w:next w:val="Default"/>
    <w:uiPriority w:val="99"/>
    <w:rsid w:val="007E084E"/>
    <w:rPr>
      <w:rFonts w:cs="Times New Roman"/>
      <w:color w:val="auto"/>
    </w:rPr>
  </w:style>
  <w:style w:type="paragraph" w:styleId="BalloonText">
    <w:name w:val="Balloon Text"/>
    <w:basedOn w:val="Normal"/>
    <w:link w:val="BalloonTextChar"/>
    <w:rsid w:val="0093765D"/>
    <w:pPr>
      <w:spacing w:after="0"/>
    </w:pPr>
    <w:rPr>
      <w:rFonts w:ascii="Tahoma" w:hAnsi="Tahoma" w:cs="Tahoma"/>
      <w:sz w:val="16"/>
      <w:szCs w:val="16"/>
    </w:rPr>
  </w:style>
  <w:style w:type="character" w:customStyle="1" w:styleId="BalloonTextChar">
    <w:name w:val="Balloon Text Char"/>
    <w:basedOn w:val="DefaultParagraphFont"/>
    <w:link w:val="BalloonText"/>
    <w:rsid w:val="0093765D"/>
    <w:rPr>
      <w:rFonts w:ascii="Tahoma" w:hAnsi="Tahoma" w:cs="Tahoma"/>
      <w:sz w:val="16"/>
      <w:szCs w:val="16"/>
    </w:rPr>
  </w:style>
  <w:style w:type="character" w:styleId="Hyperlink">
    <w:name w:val="Hyperlink"/>
    <w:basedOn w:val="DefaultParagraphFont"/>
    <w:uiPriority w:val="99"/>
    <w:unhideWhenUsed/>
    <w:rsid w:val="00D87D1E"/>
    <w:rPr>
      <w:color w:val="0000FF"/>
      <w:u w:val="single"/>
    </w:rPr>
  </w:style>
  <w:style w:type="paragraph" w:styleId="ListParagraph">
    <w:name w:val="List Paragraph"/>
    <w:basedOn w:val="Normal"/>
    <w:uiPriority w:val="34"/>
    <w:qFormat/>
    <w:rsid w:val="00815790"/>
    <w:pPr>
      <w:spacing w:line="276" w:lineRule="auto"/>
      <w:ind w:left="720"/>
      <w:contextualSpacing/>
    </w:pPr>
    <w:rPr>
      <w:rFonts w:asciiTheme="minorHAnsi" w:eastAsiaTheme="minorHAnsi" w:hAnsiTheme="minorHAnsi" w:cstheme="minorBidi"/>
      <w:sz w:val="22"/>
      <w:szCs w:val="22"/>
      <w:lang w:val="en-GB"/>
    </w:rPr>
  </w:style>
  <w:style w:type="character" w:styleId="FollowedHyperlink">
    <w:name w:val="FollowedHyperlink"/>
    <w:basedOn w:val="DefaultParagraphFont"/>
    <w:rsid w:val="00C45768"/>
    <w:rPr>
      <w:color w:val="800080" w:themeColor="followedHyperlink"/>
      <w:u w:val="single"/>
    </w:rPr>
  </w:style>
  <w:style w:type="paragraph" w:styleId="PlainText">
    <w:name w:val="Plain Text"/>
    <w:basedOn w:val="Normal"/>
    <w:link w:val="PlainTextChar"/>
    <w:uiPriority w:val="99"/>
    <w:unhideWhenUsed/>
    <w:rsid w:val="00D255B6"/>
    <w:pPr>
      <w:spacing w:after="0"/>
    </w:pPr>
    <w:rPr>
      <w:rFonts w:ascii="Consolas" w:eastAsiaTheme="minorHAnsi" w:hAnsi="Consolas" w:cs="Consolas"/>
      <w:sz w:val="21"/>
      <w:szCs w:val="21"/>
      <w:lang w:val="en-GB" w:eastAsia="en-GB"/>
    </w:rPr>
  </w:style>
  <w:style w:type="character" w:customStyle="1" w:styleId="PlainTextChar">
    <w:name w:val="Plain Text Char"/>
    <w:basedOn w:val="DefaultParagraphFont"/>
    <w:link w:val="PlainText"/>
    <w:uiPriority w:val="99"/>
    <w:rsid w:val="00D255B6"/>
    <w:rPr>
      <w:rFonts w:ascii="Consolas" w:eastAsiaTheme="minorHAnsi" w:hAnsi="Consolas" w:cs="Consolas"/>
      <w:sz w:val="21"/>
      <w:szCs w:val="21"/>
    </w:rPr>
  </w:style>
  <w:style w:type="character" w:styleId="CommentReference">
    <w:name w:val="annotation reference"/>
    <w:basedOn w:val="DefaultParagraphFont"/>
    <w:uiPriority w:val="99"/>
    <w:semiHidden/>
    <w:unhideWhenUsed/>
    <w:rsid w:val="004426D7"/>
    <w:rPr>
      <w:sz w:val="16"/>
      <w:szCs w:val="16"/>
    </w:rPr>
  </w:style>
  <w:style w:type="paragraph" w:styleId="CommentText">
    <w:name w:val="annotation text"/>
    <w:basedOn w:val="Normal"/>
    <w:link w:val="CommentTextChar"/>
    <w:uiPriority w:val="99"/>
    <w:semiHidden/>
    <w:unhideWhenUsed/>
    <w:rsid w:val="004426D7"/>
    <w:pPr>
      <w:spacing w:after="160"/>
    </w:pPr>
    <w:rPr>
      <w:rFonts w:asciiTheme="minorHAnsi" w:eastAsiaTheme="minorHAnsi" w:hAnsiTheme="minorHAnsi" w:cstheme="minorBidi"/>
      <w:sz w:val="20"/>
      <w:szCs w:val="20"/>
      <w:lang w:val="en-GB"/>
    </w:rPr>
  </w:style>
  <w:style w:type="character" w:customStyle="1" w:styleId="CommentTextChar">
    <w:name w:val="Comment Text Char"/>
    <w:basedOn w:val="DefaultParagraphFont"/>
    <w:link w:val="CommentText"/>
    <w:uiPriority w:val="99"/>
    <w:semiHidden/>
    <w:rsid w:val="004426D7"/>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4421F4"/>
    <w:pPr>
      <w:spacing w:after="200"/>
    </w:pPr>
    <w:rPr>
      <w:rFonts w:ascii="Cambria" w:eastAsia="Times New Roman" w:hAnsi="Cambria" w:cs="Times New Roman"/>
      <w:b/>
      <w:bCs/>
      <w:lang w:val="en-US"/>
    </w:rPr>
  </w:style>
  <w:style w:type="character" w:customStyle="1" w:styleId="CommentSubjectChar">
    <w:name w:val="Comment Subject Char"/>
    <w:basedOn w:val="CommentTextChar"/>
    <w:link w:val="CommentSubject"/>
    <w:semiHidden/>
    <w:rsid w:val="004421F4"/>
    <w:rPr>
      <w:rFonts w:asciiTheme="minorHAnsi" w:eastAsiaTheme="minorHAnsi" w:hAnsiTheme="minorHAnsi" w:cstheme="minorBidi"/>
      <w:b/>
      <w:bCs/>
      <w:lang w:val="en-US" w:eastAsia="en-US"/>
    </w:rPr>
  </w:style>
  <w:style w:type="character" w:styleId="Strong">
    <w:name w:val="Strong"/>
    <w:basedOn w:val="DefaultParagraphFont"/>
    <w:uiPriority w:val="22"/>
    <w:qFormat/>
    <w:rsid w:val="002C7609"/>
    <w:rPr>
      <w:b/>
      <w:bCs/>
    </w:rPr>
  </w:style>
  <w:style w:type="paragraph" w:styleId="NormalWeb">
    <w:name w:val="Normal (Web)"/>
    <w:basedOn w:val="Normal"/>
    <w:uiPriority w:val="99"/>
    <w:unhideWhenUsed/>
    <w:rsid w:val="00105B54"/>
    <w:pPr>
      <w:spacing w:before="100" w:beforeAutospacing="1" w:after="100" w:afterAutospacing="1"/>
    </w:pPr>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697545">
      <w:bodyDiv w:val="1"/>
      <w:marLeft w:val="0"/>
      <w:marRight w:val="0"/>
      <w:marTop w:val="0"/>
      <w:marBottom w:val="0"/>
      <w:divBdr>
        <w:top w:val="none" w:sz="0" w:space="0" w:color="auto"/>
        <w:left w:val="none" w:sz="0" w:space="0" w:color="auto"/>
        <w:bottom w:val="none" w:sz="0" w:space="0" w:color="auto"/>
        <w:right w:val="none" w:sz="0" w:space="0" w:color="auto"/>
      </w:divBdr>
    </w:div>
    <w:div w:id="473526886">
      <w:bodyDiv w:val="1"/>
      <w:marLeft w:val="0"/>
      <w:marRight w:val="0"/>
      <w:marTop w:val="0"/>
      <w:marBottom w:val="0"/>
      <w:divBdr>
        <w:top w:val="none" w:sz="0" w:space="0" w:color="auto"/>
        <w:left w:val="none" w:sz="0" w:space="0" w:color="auto"/>
        <w:bottom w:val="none" w:sz="0" w:space="0" w:color="auto"/>
        <w:right w:val="none" w:sz="0" w:space="0" w:color="auto"/>
      </w:divBdr>
      <w:divsChild>
        <w:div w:id="1573082602">
          <w:marLeft w:val="0"/>
          <w:marRight w:val="0"/>
          <w:marTop w:val="0"/>
          <w:marBottom w:val="0"/>
          <w:divBdr>
            <w:top w:val="none" w:sz="0" w:space="0" w:color="auto"/>
            <w:left w:val="none" w:sz="0" w:space="0" w:color="auto"/>
            <w:bottom w:val="none" w:sz="0" w:space="0" w:color="auto"/>
            <w:right w:val="none" w:sz="0" w:space="0" w:color="auto"/>
          </w:divBdr>
          <w:divsChild>
            <w:div w:id="1077554215">
              <w:marLeft w:val="0"/>
              <w:marRight w:val="0"/>
              <w:marTop w:val="0"/>
              <w:marBottom w:val="0"/>
              <w:divBdr>
                <w:top w:val="none" w:sz="0" w:space="0" w:color="auto"/>
                <w:left w:val="none" w:sz="0" w:space="0" w:color="auto"/>
                <w:bottom w:val="none" w:sz="0" w:space="0" w:color="auto"/>
                <w:right w:val="none" w:sz="0" w:space="0" w:color="auto"/>
              </w:divBdr>
              <w:divsChild>
                <w:div w:id="287319351">
                  <w:marLeft w:val="0"/>
                  <w:marRight w:val="0"/>
                  <w:marTop w:val="0"/>
                  <w:marBottom w:val="0"/>
                  <w:divBdr>
                    <w:top w:val="none" w:sz="0" w:space="0" w:color="auto"/>
                    <w:left w:val="none" w:sz="0" w:space="0" w:color="auto"/>
                    <w:bottom w:val="none" w:sz="0" w:space="0" w:color="auto"/>
                    <w:right w:val="none" w:sz="0" w:space="0" w:color="auto"/>
                  </w:divBdr>
                  <w:divsChild>
                    <w:div w:id="1577089063">
                      <w:marLeft w:val="0"/>
                      <w:marRight w:val="0"/>
                      <w:marTop w:val="0"/>
                      <w:marBottom w:val="0"/>
                      <w:divBdr>
                        <w:top w:val="none" w:sz="0" w:space="0" w:color="auto"/>
                        <w:left w:val="none" w:sz="0" w:space="0" w:color="auto"/>
                        <w:bottom w:val="none" w:sz="0" w:space="0" w:color="auto"/>
                        <w:right w:val="none" w:sz="0" w:space="0" w:color="auto"/>
                      </w:divBdr>
                      <w:divsChild>
                        <w:div w:id="1582908203">
                          <w:marLeft w:val="0"/>
                          <w:marRight w:val="0"/>
                          <w:marTop w:val="0"/>
                          <w:marBottom w:val="0"/>
                          <w:divBdr>
                            <w:top w:val="none" w:sz="0" w:space="0" w:color="auto"/>
                            <w:left w:val="none" w:sz="0" w:space="0" w:color="auto"/>
                            <w:bottom w:val="none" w:sz="0" w:space="0" w:color="auto"/>
                            <w:right w:val="none" w:sz="0" w:space="0" w:color="auto"/>
                          </w:divBdr>
                          <w:divsChild>
                            <w:div w:id="712845614">
                              <w:marLeft w:val="0"/>
                              <w:marRight w:val="0"/>
                              <w:marTop w:val="0"/>
                              <w:marBottom w:val="0"/>
                              <w:divBdr>
                                <w:top w:val="none" w:sz="0" w:space="0" w:color="auto"/>
                                <w:left w:val="none" w:sz="0" w:space="0" w:color="auto"/>
                                <w:bottom w:val="none" w:sz="0" w:space="0" w:color="auto"/>
                                <w:right w:val="none" w:sz="0" w:space="0" w:color="auto"/>
                              </w:divBdr>
                              <w:divsChild>
                                <w:div w:id="1462457181">
                                  <w:marLeft w:val="0"/>
                                  <w:marRight w:val="0"/>
                                  <w:marTop w:val="0"/>
                                  <w:marBottom w:val="0"/>
                                  <w:divBdr>
                                    <w:top w:val="none" w:sz="0" w:space="0" w:color="auto"/>
                                    <w:left w:val="none" w:sz="0" w:space="0" w:color="auto"/>
                                    <w:bottom w:val="none" w:sz="0" w:space="0" w:color="auto"/>
                                    <w:right w:val="none" w:sz="0" w:space="0" w:color="auto"/>
                                  </w:divBdr>
                                  <w:divsChild>
                                    <w:div w:id="876696994">
                                      <w:marLeft w:val="0"/>
                                      <w:marRight w:val="0"/>
                                      <w:marTop w:val="0"/>
                                      <w:marBottom w:val="0"/>
                                      <w:divBdr>
                                        <w:top w:val="none" w:sz="0" w:space="0" w:color="auto"/>
                                        <w:left w:val="none" w:sz="0" w:space="0" w:color="auto"/>
                                        <w:bottom w:val="none" w:sz="0" w:space="0" w:color="auto"/>
                                        <w:right w:val="none" w:sz="0" w:space="0" w:color="auto"/>
                                      </w:divBdr>
                                      <w:divsChild>
                                        <w:div w:id="618072663">
                                          <w:marLeft w:val="0"/>
                                          <w:marRight w:val="0"/>
                                          <w:marTop w:val="0"/>
                                          <w:marBottom w:val="0"/>
                                          <w:divBdr>
                                            <w:top w:val="none" w:sz="0" w:space="0" w:color="auto"/>
                                            <w:left w:val="none" w:sz="0" w:space="0" w:color="auto"/>
                                            <w:bottom w:val="none" w:sz="0" w:space="0" w:color="auto"/>
                                            <w:right w:val="none" w:sz="0" w:space="0" w:color="auto"/>
                                          </w:divBdr>
                                          <w:divsChild>
                                            <w:div w:id="1301305678">
                                              <w:marLeft w:val="0"/>
                                              <w:marRight w:val="0"/>
                                              <w:marTop w:val="0"/>
                                              <w:marBottom w:val="0"/>
                                              <w:divBdr>
                                                <w:top w:val="none" w:sz="0" w:space="0" w:color="auto"/>
                                                <w:left w:val="none" w:sz="0" w:space="0" w:color="auto"/>
                                                <w:bottom w:val="none" w:sz="0" w:space="0" w:color="auto"/>
                                                <w:right w:val="none" w:sz="0" w:space="0" w:color="auto"/>
                                              </w:divBdr>
                                              <w:divsChild>
                                                <w:div w:id="17547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4921854">
      <w:bodyDiv w:val="1"/>
      <w:marLeft w:val="0"/>
      <w:marRight w:val="0"/>
      <w:marTop w:val="0"/>
      <w:marBottom w:val="0"/>
      <w:divBdr>
        <w:top w:val="none" w:sz="0" w:space="0" w:color="auto"/>
        <w:left w:val="none" w:sz="0" w:space="0" w:color="auto"/>
        <w:bottom w:val="none" w:sz="0" w:space="0" w:color="auto"/>
        <w:right w:val="none" w:sz="0" w:space="0" w:color="auto"/>
      </w:divBdr>
    </w:div>
    <w:div w:id="1258248568">
      <w:bodyDiv w:val="1"/>
      <w:marLeft w:val="0"/>
      <w:marRight w:val="0"/>
      <w:marTop w:val="0"/>
      <w:marBottom w:val="0"/>
      <w:divBdr>
        <w:top w:val="none" w:sz="0" w:space="0" w:color="auto"/>
        <w:left w:val="none" w:sz="0" w:space="0" w:color="auto"/>
        <w:bottom w:val="none" w:sz="0" w:space="0" w:color="auto"/>
        <w:right w:val="none" w:sz="0" w:space="0" w:color="auto"/>
      </w:divBdr>
    </w:div>
    <w:div w:id="1469590222">
      <w:bodyDiv w:val="1"/>
      <w:marLeft w:val="0"/>
      <w:marRight w:val="0"/>
      <w:marTop w:val="0"/>
      <w:marBottom w:val="0"/>
      <w:divBdr>
        <w:top w:val="none" w:sz="0" w:space="0" w:color="auto"/>
        <w:left w:val="none" w:sz="0" w:space="0" w:color="auto"/>
        <w:bottom w:val="none" w:sz="0" w:space="0" w:color="auto"/>
        <w:right w:val="none" w:sz="0" w:space="0" w:color="auto"/>
      </w:divBdr>
    </w:div>
    <w:div w:id="1501312715">
      <w:bodyDiv w:val="1"/>
      <w:marLeft w:val="0"/>
      <w:marRight w:val="0"/>
      <w:marTop w:val="0"/>
      <w:marBottom w:val="0"/>
      <w:divBdr>
        <w:top w:val="none" w:sz="0" w:space="0" w:color="auto"/>
        <w:left w:val="none" w:sz="0" w:space="0" w:color="auto"/>
        <w:bottom w:val="none" w:sz="0" w:space="0" w:color="auto"/>
        <w:right w:val="none" w:sz="0" w:space="0" w:color="auto"/>
      </w:divBdr>
    </w:div>
    <w:div w:id="1621569698">
      <w:bodyDiv w:val="1"/>
      <w:marLeft w:val="0"/>
      <w:marRight w:val="0"/>
      <w:marTop w:val="0"/>
      <w:marBottom w:val="0"/>
      <w:divBdr>
        <w:top w:val="none" w:sz="0" w:space="0" w:color="auto"/>
        <w:left w:val="none" w:sz="0" w:space="0" w:color="auto"/>
        <w:bottom w:val="none" w:sz="0" w:space="0" w:color="auto"/>
        <w:right w:val="none" w:sz="0" w:space="0" w:color="auto"/>
      </w:divBdr>
    </w:div>
    <w:div w:id="1822119623">
      <w:bodyDiv w:val="1"/>
      <w:marLeft w:val="0"/>
      <w:marRight w:val="0"/>
      <w:marTop w:val="0"/>
      <w:marBottom w:val="0"/>
      <w:divBdr>
        <w:top w:val="none" w:sz="0" w:space="0" w:color="auto"/>
        <w:left w:val="none" w:sz="0" w:space="0" w:color="auto"/>
        <w:bottom w:val="none" w:sz="0" w:space="0" w:color="auto"/>
        <w:right w:val="none" w:sz="0" w:space="0" w:color="auto"/>
      </w:divBdr>
    </w:div>
    <w:div w:id="1897857439">
      <w:bodyDiv w:val="1"/>
      <w:marLeft w:val="0"/>
      <w:marRight w:val="0"/>
      <w:marTop w:val="0"/>
      <w:marBottom w:val="0"/>
      <w:divBdr>
        <w:top w:val="none" w:sz="0" w:space="0" w:color="auto"/>
        <w:left w:val="none" w:sz="0" w:space="0" w:color="auto"/>
        <w:bottom w:val="none" w:sz="0" w:space="0" w:color="auto"/>
        <w:right w:val="none" w:sz="0" w:space="0" w:color="auto"/>
      </w:divBdr>
    </w:div>
    <w:div w:id="1980570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oodresearch.org.uk/within-arms-reach-school-neighbourhoods-and-young-peoples-food-choices/"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foodresearch.org.uk" TargetMode="External"/><Relationship Id="rId4" Type="http://schemas.openxmlformats.org/officeDocument/2006/relationships/settings" Target="settings.xml"/><Relationship Id="rId9" Type="http://schemas.openxmlformats.org/officeDocument/2006/relationships/hyperlink" Target="http://www.herts.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945E7B-55D4-4497-951C-0273B4AEC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Information Hertofrdshire</cp:lastModifiedBy>
  <cp:revision>3</cp:revision>
  <cp:lastPrinted>2010-11-10T16:44:00Z</cp:lastPrinted>
  <dcterms:created xsi:type="dcterms:W3CDTF">2016-01-18T10:51:00Z</dcterms:created>
  <dcterms:modified xsi:type="dcterms:W3CDTF">2016-01-18T14:18:00Z</dcterms:modified>
</cp:coreProperties>
</file>